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23B51D63" w:rsidR="00A4146A" w:rsidRPr="00686D54" w:rsidRDefault="00D36D8A" w:rsidP="00F46205">
            <w:pPr>
              <w:spacing w:before="120" w:after="120"/>
              <w:rPr>
                <w:rFonts w:cs="Arial"/>
                <w:b/>
              </w:rPr>
            </w:pPr>
            <w:r>
              <w:rPr>
                <w:rFonts w:cs="Arial"/>
                <w:b/>
              </w:rPr>
              <w:t>Housing Options Officer</w:t>
            </w:r>
          </w:p>
        </w:tc>
        <w:tc>
          <w:tcPr>
            <w:tcW w:w="4530" w:type="dxa"/>
          </w:tcPr>
          <w:p w14:paraId="1117CEA5" w14:textId="7B172811" w:rsidR="00A4146A" w:rsidRPr="00686D54" w:rsidRDefault="00477B07" w:rsidP="00114B5E">
            <w:pPr>
              <w:spacing w:before="120" w:after="120"/>
              <w:rPr>
                <w:rFonts w:cs="Arial"/>
                <w:b/>
              </w:rPr>
            </w:pPr>
            <w:r>
              <w:rPr>
                <w:rFonts w:cs="Arial"/>
                <w:b/>
              </w:rPr>
              <w:t>D</w:t>
            </w:r>
            <w:proofErr w:type="gramStart"/>
            <w:r>
              <w:rPr>
                <w:rFonts w:cs="Arial"/>
                <w:b/>
              </w:rPr>
              <w:t>3</w:t>
            </w:r>
            <w:r w:rsidR="009B1F20">
              <w:rPr>
                <w:rFonts w:cs="Arial"/>
                <w:b/>
              </w:rPr>
              <w:t>004,D</w:t>
            </w:r>
            <w:proofErr w:type="gramEnd"/>
            <w:r w:rsidR="009B1F20">
              <w:rPr>
                <w:rFonts w:cs="Arial"/>
                <w:b/>
              </w:rPr>
              <w:t>3005, D3006, D3007, D3016</w:t>
            </w:r>
            <w:r w:rsidR="007D77D5">
              <w:rPr>
                <w:rFonts w:cs="Arial"/>
                <w:b/>
              </w:rPr>
              <w:t>, D3017</w:t>
            </w:r>
            <w:r w:rsidR="00A46337">
              <w:rPr>
                <w:rFonts w:cs="Arial"/>
                <w:b/>
              </w:rPr>
              <w:t>, D3027</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06300CCA" w:rsidR="00114B5E" w:rsidRPr="00686D54" w:rsidRDefault="007D77D5" w:rsidP="00114B5E">
            <w:pPr>
              <w:spacing w:before="120" w:after="120"/>
              <w:rPr>
                <w:rFonts w:cs="Arial"/>
              </w:rPr>
            </w:pPr>
            <w:r>
              <w:rPr>
                <w:rFonts w:cs="Arial"/>
              </w:rPr>
              <w:t>Housing / Communities</w:t>
            </w:r>
          </w:p>
        </w:tc>
        <w:tc>
          <w:tcPr>
            <w:tcW w:w="4530" w:type="dxa"/>
          </w:tcPr>
          <w:p w14:paraId="303250F1" w14:textId="1DA08E19" w:rsidR="00114B5E" w:rsidRPr="00686D54" w:rsidRDefault="00C27859" w:rsidP="00114B5E">
            <w:pPr>
              <w:spacing w:before="120" w:after="120"/>
              <w:rPr>
                <w:rFonts w:cs="Arial"/>
              </w:rPr>
            </w:pPr>
            <w:r>
              <w:rPr>
                <w:rFonts w:cs="Arial"/>
              </w:rPr>
              <w:t>Council Offices, Hailsham / Hybrid</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77BB13ED" w:rsidR="007E6AC5" w:rsidRPr="00686D54" w:rsidRDefault="007D77D5" w:rsidP="007E6AC5">
            <w:pPr>
              <w:spacing w:before="120" w:after="120"/>
              <w:rPr>
                <w:rFonts w:cs="Arial"/>
              </w:rPr>
            </w:pPr>
            <w:r>
              <w:rPr>
                <w:rFonts w:cs="Arial"/>
              </w:rPr>
              <w:t xml:space="preserve">WDC </w:t>
            </w:r>
            <w:r w:rsidR="004F7138">
              <w:rPr>
                <w:rFonts w:cs="Arial"/>
              </w:rPr>
              <w:t>5</w:t>
            </w:r>
          </w:p>
        </w:tc>
        <w:tc>
          <w:tcPr>
            <w:tcW w:w="4530" w:type="dxa"/>
          </w:tcPr>
          <w:p w14:paraId="5E31270F" w14:textId="5EF86CB9" w:rsidR="007E6AC5" w:rsidRPr="007D77D5" w:rsidRDefault="007D77D5" w:rsidP="00D700F3">
            <w:pPr>
              <w:pStyle w:val="ListParagraph"/>
              <w:spacing w:before="120" w:after="120"/>
              <w:ind w:left="357"/>
              <w:rPr>
                <w:rFonts w:ascii="Arial" w:hAnsi="Arial" w:cs="Arial"/>
              </w:rPr>
            </w:pPr>
            <w:r w:rsidRPr="007D77D5">
              <w:rPr>
                <w:rFonts w:ascii="Arial" w:hAnsi="Arial" w:cs="Arial"/>
              </w:rPr>
              <w:t>Essential Car User Allowance</w:t>
            </w:r>
          </w:p>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DC5533">
        <w:trPr>
          <w:trHeight w:val="4897"/>
        </w:trPr>
        <w:tc>
          <w:tcPr>
            <w:tcW w:w="4530" w:type="dxa"/>
          </w:tcPr>
          <w:p w14:paraId="71602C1B" w14:textId="77777777" w:rsidR="00DC5533" w:rsidRDefault="00DC5533" w:rsidP="00DC5533">
            <w:pPr>
              <w:spacing w:before="120" w:after="120"/>
              <w:rPr>
                <w:rFonts w:cs="Arial"/>
                <w:b/>
                <w:bCs/>
              </w:rPr>
            </w:pPr>
            <w:r w:rsidRPr="00ED033F">
              <w:rPr>
                <w:rFonts w:cs="Arial"/>
                <w:b/>
                <w:bCs/>
              </w:rPr>
              <w:t>Who will I be working with?</w:t>
            </w:r>
          </w:p>
          <w:p w14:paraId="547BA17D" w14:textId="77777777" w:rsidR="00DC5533" w:rsidRPr="004F5FE4" w:rsidRDefault="00DC5533" w:rsidP="00811096">
            <w:pPr>
              <w:spacing w:before="120" w:after="120"/>
              <w:rPr>
                <w:rFonts w:cs="Arial"/>
                <w:color w:val="FF0000"/>
              </w:rPr>
            </w:pPr>
          </w:p>
          <w:p w14:paraId="556352F2" w14:textId="77777777" w:rsidR="00DC5533" w:rsidRDefault="00DC5533" w:rsidP="00DC5533">
            <w:pPr>
              <w:spacing w:before="120" w:after="120"/>
              <w:rPr>
                <w:rFonts w:cs="Arial"/>
                <w:b/>
                <w:bCs/>
              </w:rPr>
            </w:pPr>
          </w:p>
          <w:p w14:paraId="532AE4E8" w14:textId="77777777" w:rsidR="00DC5533" w:rsidRDefault="00DC5533" w:rsidP="00DC5533">
            <w:pPr>
              <w:spacing w:before="120" w:after="120"/>
              <w:rPr>
                <w:rFonts w:cs="Arial"/>
                <w:b/>
                <w:bCs/>
              </w:rPr>
            </w:pPr>
          </w:p>
          <w:p w14:paraId="1E79F074" w14:textId="77777777" w:rsidR="00DC5533" w:rsidRDefault="00DC5533" w:rsidP="00DC5533">
            <w:pPr>
              <w:spacing w:before="120" w:after="120"/>
              <w:rPr>
                <w:rFonts w:cs="Arial"/>
                <w:b/>
                <w:bCs/>
              </w:rPr>
            </w:pPr>
          </w:p>
          <w:p w14:paraId="55230301" w14:textId="77777777" w:rsidR="00DC5533" w:rsidRDefault="00DC5533" w:rsidP="00DC5533">
            <w:pPr>
              <w:spacing w:before="120" w:after="120"/>
              <w:rPr>
                <w:rFonts w:cs="Arial"/>
                <w:b/>
                <w:bCs/>
              </w:rPr>
            </w:pPr>
          </w:p>
          <w:p w14:paraId="0BCAA800" w14:textId="0F2475B4" w:rsidR="00811096" w:rsidRPr="00D700F3" w:rsidRDefault="00811096" w:rsidP="00114B5E">
            <w:pPr>
              <w:spacing w:before="120" w:after="120"/>
              <w:rPr>
                <w:rFonts w:cs="Arial"/>
                <w:b/>
                <w:bCs/>
              </w:rPr>
            </w:pPr>
          </w:p>
        </w:tc>
        <w:tc>
          <w:tcPr>
            <w:tcW w:w="4530" w:type="dxa"/>
          </w:tcPr>
          <w:p w14:paraId="053A3E20" w14:textId="77777777" w:rsidR="002E6FCD" w:rsidRDefault="002E6FCD" w:rsidP="002E6FCD">
            <w:pPr>
              <w:widowControl w:val="0"/>
              <w:tabs>
                <w:tab w:val="left" w:pos="0"/>
                <w:tab w:val="left" w:pos="1134"/>
                <w:tab w:val="left" w:pos="2552"/>
              </w:tabs>
              <w:ind w:left="567" w:hanging="567"/>
              <w:jc w:val="both"/>
              <w:rPr>
                <w:rFonts w:cs="Arial"/>
                <w:snapToGrid w:val="0"/>
                <w:lang w:val="en-US"/>
              </w:rPr>
            </w:pPr>
            <w:r>
              <w:rPr>
                <w:rFonts w:cs="Arial"/>
                <w:b/>
                <w:snapToGrid w:val="0"/>
                <w:lang w:val="en-US"/>
              </w:rPr>
              <w:t>Internal -</w:t>
            </w:r>
            <w:r>
              <w:rPr>
                <w:rFonts w:cs="Arial"/>
                <w:snapToGrid w:val="0"/>
                <w:lang w:val="en-US"/>
              </w:rPr>
              <w:t xml:space="preserve"> Head of Housing, Housing Strategy &amp; Development Manager, Housing Options Team Leader, staff in the housing service and other departments of the Council.  Members of the Council. </w:t>
            </w:r>
          </w:p>
          <w:p w14:paraId="266E1713" w14:textId="77777777" w:rsidR="002E6FCD" w:rsidRDefault="002E6FCD" w:rsidP="002E6FCD">
            <w:pPr>
              <w:widowControl w:val="0"/>
              <w:tabs>
                <w:tab w:val="left" w:pos="0"/>
                <w:tab w:val="left" w:pos="1134"/>
                <w:tab w:val="left" w:pos="2552"/>
              </w:tabs>
              <w:ind w:left="567" w:hanging="567"/>
              <w:jc w:val="both"/>
              <w:rPr>
                <w:rFonts w:cs="Arial"/>
                <w:b/>
                <w:snapToGrid w:val="0"/>
                <w:lang w:val="en-US"/>
              </w:rPr>
            </w:pPr>
          </w:p>
          <w:p w14:paraId="789BD061" w14:textId="67ADC07F" w:rsidR="00ED033F" w:rsidRPr="002E6FCD" w:rsidRDefault="002E6FCD" w:rsidP="002E6FCD">
            <w:pPr>
              <w:widowControl w:val="0"/>
              <w:tabs>
                <w:tab w:val="left" w:pos="0"/>
                <w:tab w:val="left" w:pos="1134"/>
                <w:tab w:val="left" w:pos="2552"/>
              </w:tabs>
              <w:ind w:left="567" w:hanging="567"/>
              <w:jc w:val="both"/>
              <w:rPr>
                <w:rFonts w:cs="Arial"/>
                <w:snapToGrid w:val="0"/>
                <w:lang w:val="en-US"/>
              </w:rPr>
            </w:pPr>
            <w:r>
              <w:rPr>
                <w:rFonts w:cs="Arial"/>
                <w:b/>
                <w:snapToGrid w:val="0"/>
                <w:lang w:val="en-US"/>
              </w:rPr>
              <w:t xml:space="preserve">  External -</w:t>
            </w:r>
            <w:r>
              <w:rPr>
                <w:rFonts w:cs="Arial"/>
                <w:snapToGrid w:val="0"/>
                <w:lang w:val="en-US"/>
              </w:rPr>
              <w:t xml:space="preserve"> Members of the public, County and District Councils, Registered Social Landlords, other statutory and voluntary </w:t>
            </w:r>
            <w:proofErr w:type="spellStart"/>
            <w:r>
              <w:rPr>
                <w:rFonts w:cs="Arial"/>
                <w:snapToGrid w:val="0"/>
                <w:lang w:val="en-US"/>
              </w:rPr>
              <w:t>organisations</w:t>
            </w:r>
            <w:proofErr w:type="spellEnd"/>
            <w:r>
              <w:rPr>
                <w:rFonts w:cs="Arial"/>
                <w:snapToGrid w:val="0"/>
                <w:lang w:val="en-US"/>
              </w:rPr>
              <w:t xml:space="preserve"> and other agencies concerned with the duties of the housing service and related matters. </w:t>
            </w: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8A4DA7" w:rsidRPr="00686D54" w14:paraId="29E7CDE7" w14:textId="77777777" w:rsidTr="001A2A75">
        <w:tc>
          <w:tcPr>
            <w:tcW w:w="4530" w:type="dxa"/>
          </w:tcPr>
          <w:p w14:paraId="57E0D813" w14:textId="77777777" w:rsidR="00DC5533" w:rsidRPr="009F5F43" w:rsidRDefault="00DC5533" w:rsidP="00DC5533">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p w14:paraId="7C6DC170" w14:textId="77777777" w:rsidR="00811096" w:rsidRDefault="00811096" w:rsidP="001A2A75">
            <w:pPr>
              <w:spacing w:before="120" w:after="120"/>
              <w:rPr>
                <w:rFonts w:cs="Arial"/>
                <w:color w:val="FF0000"/>
              </w:rPr>
            </w:pPr>
          </w:p>
          <w:p w14:paraId="232C62A5" w14:textId="77777777" w:rsidR="00DC5533" w:rsidRDefault="00DC5533" w:rsidP="001A2A75">
            <w:pPr>
              <w:spacing w:before="120" w:after="120"/>
              <w:rPr>
                <w:rFonts w:cs="Arial"/>
                <w:color w:val="FF0000"/>
              </w:rPr>
            </w:pPr>
          </w:p>
          <w:p w14:paraId="0ACDAF3B" w14:textId="77777777" w:rsidR="00DC5533" w:rsidRDefault="00DC5533" w:rsidP="001A2A75">
            <w:pPr>
              <w:spacing w:before="120" w:after="120"/>
              <w:rPr>
                <w:rFonts w:cs="Arial"/>
                <w:color w:val="FF0000"/>
              </w:rPr>
            </w:pPr>
          </w:p>
          <w:p w14:paraId="0A784D99" w14:textId="444594D0" w:rsidR="00DC5533" w:rsidRDefault="00DC5533" w:rsidP="001A2A75">
            <w:pPr>
              <w:spacing w:before="120" w:after="120"/>
              <w:rPr>
                <w:rFonts w:cs="Arial"/>
                <w:color w:val="FF0000"/>
              </w:rPr>
            </w:pPr>
            <w:r>
              <w:rPr>
                <w:rFonts w:cs="Arial"/>
                <w:b/>
                <w:bCs/>
              </w:rPr>
              <w:t>What are the consequences for me or the council?</w:t>
            </w:r>
          </w:p>
          <w:p w14:paraId="3A3F4A0B" w14:textId="77777777" w:rsidR="00811096" w:rsidRDefault="00811096" w:rsidP="001A2A75">
            <w:pPr>
              <w:spacing w:before="120" w:after="120"/>
              <w:rPr>
                <w:rFonts w:cs="Arial"/>
                <w:b/>
                <w:bCs/>
              </w:rPr>
            </w:pPr>
          </w:p>
          <w:p w14:paraId="43FBB99F" w14:textId="39D2D426" w:rsidR="008A4DA7" w:rsidRPr="002C4913" w:rsidRDefault="007C0CEE" w:rsidP="001A2A75">
            <w:pPr>
              <w:spacing w:before="120" w:after="120"/>
              <w:rPr>
                <w:rFonts w:cs="Arial"/>
                <w:b/>
                <w:bCs/>
              </w:rPr>
            </w:pPr>
            <w:r>
              <w:rPr>
                <w:rFonts w:cs="Arial"/>
                <w:b/>
                <w:bCs/>
              </w:rPr>
              <w:t xml:space="preserve">This covers </w:t>
            </w:r>
            <w:r w:rsidR="002C4913">
              <w:rPr>
                <w:rFonts w:cs="Arial"/>
                <w:b/>
                <w:bCs/>
              </w:rPr>
              <w:t xml:space="preserve">JE Criteria D </w:t>
            </w:r>
            <w:r>
              <w:rPr>
                <w:rFonts w:cs="Arial"/>
                <w:b/>
                <w:bCs/>
              </w:rPr>
              <w:t>(</w:t>
            </w:r>
            <w:r w:rsidR="002C4913">
              <w:rPr>
                <w:rFonts w:cs="Arial"/>
                <w:b/>
                <w:bCs/>
              </w:rPr>
              <w:t>Accountability</w:t>
            </w:r>
            <w:r>
              <w:rPr>
                <w:rFonts w:cs="Arial"/>
                <w:b/>
                <w:bCs/>
              </w:rPr>
              <w:t>)</w:t>
            </w:r>
          </w:p>
        </w:tc>
        <w:tc>
          <w:tcPr>
            <w:tcW w:w="4530" w:type="dxa"/>
          </w:tcPr>
          <w:p w14:paraId="27E2A2C9" w14:textId="185EDE1C" w:rsidR="007C0CEE" w:rsidRDefault="00D66DDB" w:rsidP="001A2A75">
            <w:pPr>
              <w:spacing w:before="120" w:after="120"/>
              <w:rPr>
                <w:rFonts w:cs="Arial"/>
                <w:color w:val="FF0000"/>
              </w:rPr>
            </w:pPr>
            <w:r>
              <w:rPr>
                <w:rFonts w:cs="Arial"/>
              </w:rPr>
              <w:t xml:space="preserve">To provide an effective, professional homelessness service on behalf of the Council including offering a full range of advice on housing options in the private and public sector and ensure comprehensive homelessness prevention service, including developing updating and reviewing Personal Housing Plans.  To assess and investigate </w:t>
            </w:r>
            <w:r>
              <w:rPr>
                <w:rFonts w:cs="Arial"/>
                <w:color w:val="000000"/>
              </w:rPr>
              <w:t xml:space="preserve">homeless applications in line with the Council’s statutory duties under </w:t>
            </w:r>
            <w:r>
              <w:rPr>
                <w:rFonts w:cs="Arial"/>
                <w:color w:val="000000"/>
              </w:rPr>
              <w:lastRenderedPageBreak/>
              <w:t>Housing Act 1996 Part 7 and relevant case law.</w:t>
            </w:r>
          </w:p>
          <w:p w14:paraId="2B0CECDE" w14:textId="61177635" w:rsidR="00424AFC" w:rsidRPr="00424AFC" w:rsidRDefault="00424AFC" w:rsidP="001A2A75">
            <w:pPr>
              <w:spacing w:before="120" w:after="120"/>
              <w:rPr>
                <w:rFonts w:cs="Arial"/>
                <w:b/>
                <w:bCs/>
              </w:rPr>
            </w:pPr>
          </w:p>
        </w:tc>
      </w:tr>
      <w:tr w:rsidR="007218F9" w:rsidRPr="00686D54" w14:paraId="7B9BB420" w14:textId="77777777" w:rsidTr="00120D01">
        <w:tc>
          <w:tcPr>
            <w:tcW w:w="9060" w:type="dxa"/>
            <w:gridSpan w:val="2"/>
            <w:shd w:val="clear" w:color="auto" w:fill="00B050"/>
          </w:tcPr>
          <w:p w14:paraId="4C9B4465" w14:textId="37550C58" w:rsidR="007218F9" w:rsidRPr="00276CD2" w:rsidRDefault="00C65A77" w:rsidP="00276CD2">
            <w:pPr>
              <w:spacing w:after="160" w:line="259" w:lineRule="auto"/>
              <w:rPr>
                <w:rFonts w:cs="Arial"/>
              </w:rPr>
            </w:pPr>
            <w:r>
              <w:rPr>
                <w:rFonts w:cs="Arial"/>
                <w:b/>
                <w:bCs/>
                <w:color w:val="FFFFFF" w:themeColor="background1"/>
              </w:rPr>
              <w:lastRenderedPageBreak/>
              <w:t xml:space="preserve">DECISION MAKING AUTHORITY </w:t>
            </w:r>
            <w:r w:rsidR="00276CD2" w:rsidRPr="00276CD2">
              <w:rPr>
                <w:rFonts w:cs="Arial"/>
                <w:color w:val="FFFFFF" w:themeColor="background1"/>
              </w:rPr>
              <w:t>(INDEPENDENCE)</w:t>
            </w:r>
          </w:p>
        </w:tc>
      </w:tr>
      <w:tr w:rsidR="007218F9" w:rsidRPr="00686D54" w14:paraId="5F126A8E" w14:textId="6DCEE4DB" w:rsidTr="00C21213">
        <w:tc>
          <w:tcPr>
            <w:tcW w:w="9060" w:type="dxa"/>
            <w:gridSpan w:val="2"/>
          </w:tcPr>
          <w:p w14:paraId="56B90B04" w14:textId="23E10E85" w:rsidR="007C0CEE" w:rsidRPr="00C27859" w:rsidRDefault="00785C20" w:rsidP="007C0CEE">
            <w:pPr>
              <w:spacing w:after="160" w:line="259" w:lineRule="auto"/>
              <w:rPr>
                <w:rFonts w:cs="Arial"/>
                <w:color w:val="FF0000"/>
              </w:rPr>
            </w:pPr>
            <w:r w:rsidRPr="00C27859">
              <w:rPr>
                <w:rFonts w:cs="Arial"/>
                <w:b/>
                <w:bCs/>
              </w:rPr>
              <w:t>What actions can I take independently?</w:t>
            </w:r>
            <w:r w:rsidR="007C0CEE" w:rsidRPr="00C27859">
              <w:rPr>
                <w:rFonts w:cs="Arial"/>
                <w:b/>
                <w:bCs/>
              </w:rPr>
              <w:t xml:space="preserve"> </w:t>
            </w:r>
          </w:p>
          <w:p w14:paraId="71611C54" w14:textId="6932FA5D" w:rsidR="004F7138" w:rsidRPr="00C27859" w:rsidRDefault="004F7138" w:rsidP="007218F9">
            <w:pPr>
              <w:spacing w:after="160" w:line="259" w:lineRule="auto"/>
              <w:rPr>
                <w:rFonts w:cs="Arial"/>
              </w:rPr>
            </w:pPr>
            <w:r w:rsidRPr="00C27859">
              <w:rPr>
                <w:rFonts w:cs="Arial"/>
              </w:rPr>
              <w:t>Undertake assessments of household circumstances</w:t>
            </w:r>
            <w:r w:rsidR="003E3F63" w:rsidRPr="00C27859">
              <w:rPr>
                <w:rFonts w:cs="Arial"/>
              </w:rPr>
              <w:t xml:space="preserve">, making thorough and relevant enquiries into the tests of homelessness </w:t>
            </w:r>
            <w:r w:rsidRPr="00C27859">
              <w:rPr>
                <w:rFonts w:cs="Arial"/>
              </w:rPr>
              <w:t>and make</w:t>
            </w:r>
            <w:r w:rsidR="008152DA" w:rsidRPr="00C27859">
              <w:rPr>
                <w:rFonts w:cs="Arial"/>
              </w:rPr>
              <w:t xml:space="preserve"> correct, </w:t>
            </w:r>
            <w:proofErr w:type="gramStart"/>
            <w:r w:rsidR="008152DA" w:rsidRPr="00C27859">
              <w:rPr>
                <w:rFonts w:cs="Arial"/>
              </w:rPr>
              <w:t>evidence based</w:t>
            </w:r>
            <w:proofErr w:type="gramEnd"/>
            <w:r w:rsidRPr="00C27859">
              <w:rPr>
                <w:rFonts w:cs="Arial"/>
              </w:rPr>
              <w:t xml:space="preserve"> decisions under Part VII Housing Act 1996</w:t>
            </w:r>
            <w:r w:rsidR="003E3F63" w:rsidRPr="00C27859">
              <w:rPr>
                <w:rFonts w:cs="Arial"/>
              </w:rPr>
              <w:t xml:space="preserve"> and Homelessness Reduction Act 2017.</w:t>
            </w:r>
            <w:r w:rsidR="008152DA" w:rsidRPr="00C27859">
              <w:rPr>
                <w:rFonts w:cs="Arial"/>
              </w:rPr>
              <w:t xml:space="preserve"> This could be in a variety of settings including at the Council Offices, home visits, telephone/video call, hospital or other community setting.</w:t>
            </w:r>
          </w:p>
          <w:p w14:paraId="0913DC5B" w14:textId="404F8ECA" w:rsidR="004F7138" w:rsidRPr="00C27859" w:rsidRDefault="004F7138" w:rsidP="007218F9">
            <w:pPr>
              <w:spacing w:after="160" w:line="259" w:lineRule="auto"/>
              <w:rPr>
                <w:rFonts w:cs="Arial"/>
              </w:rPr>
            </w:pPr>
            <w:r w:rsidRPr="00C27859">
              <w:rPr>
                <w:rFonts w:cs="Arial"/>
              </w:rPr>
              <w:t>Deliver clear and tailored housing advice to residents both verbally and in writing, including applications to the Council’s Housing Register</w:t>
            </w:r>
            <w:r w:rsidR="003E3F63" w:rsidRPr="00C27859">
              <w:rPr>
                <w:rFonts w:cs="Arial"/>
              </w:rPr>
              <w:t xml:space="preserve"> and to those not eligible for Homelessness </w:t>
            </w:r>
            <w:r w:rsidR="009F6E27" w:rsidRPr="00C27859">
              <w:rPr>
                <w:rFonts w:cs="Arial"/>
              </w:rPr>
              <w:t>a</w:t>
            </w:r>
            <w:r w:rsidR="003E3F63" w:rsidRPr="00C27859">
              <w:rPr>
                <w:rFonts w:cs="Arial"/>
              </w:rPr>
              <w:t>ssistance or to join the Housing Register.</w:t>
            </w:r>
          </w:p>
          <w:p w14:paraId="2B3D3C97" w14:textId="4D3BF3EA" w:rsidR="003E3F63" w:rsidRPr="00C27859" w:rsidRDefault="003E3F63" w:rsidP="007218F9">
            <w:pPr>
              <w:spacing w:after="160" w:line="259" w:lineRule="auto"/>
              <w:rPr>
                <w:rFonts w:cs="Arial"/>
              </w:rPr>
            </w:pPr>
            <w:r w:rsidRPr="00C27859">
              <w:rPr>
                <w:rFonts w:cs="Arial"/>
              </w:rPr>
              <w:t>Write clear and concise reports, housing plans, case notes and decision letters.</w:t>
            </w:r>
          </w:p>
          <w:p w14:paraId="02CBB6CF" w14:textId="39B734D4" w:rsidR="008152DA" w:rsidRPr="00C27859" w:rsidRDefault="008152DA" w:rsidP="007218F9">
            <w:pPr>
              <w:spacing w:after="160" w:line="259" w:lineRule="auto"/>
              <w:rPr>
                <w:rFonts w:cs="Arial"/>
              </w:rPr>
            </w:pPr>
            <w:r w:rsidRPr="00C27859">
              <w:rPr>
                <w:rFonts w:cs="Arial"/>
              </w:rPr>
              <w:t xml:space="preserve">Undertake risk assessments to protect staff, </w:t>
            </w:r>
            <w:r w:rsidR="009F6E27" w:rsidRPr="00C27859">
              <w:rPr>
                <w:rFonts w:cs="Arial"/>
              </w:rPr>
              <w:t xml:space="preserve">applicants, </w:t>
            </w:r>
            <w:r w:rsidRPr="00C27859">
              <w:rPr>
                <w:rFonts w:cs="Arial"/>
              </w:rPr>
              <w:t>residents and the wider public in an accommodation setting.</w:t>
            </w:r>
          </w:p>
          <w:p w14:paraId="6F86766A" w14:textId="4D721CFC" w:rsidR="008152DA" w:rsidRPr="00C27859" w:rsidRDefault="008152DA" w:rsidP="007218F9">
            <w:pPr>
              <w:spacing w:after="160" w:line="259" w:lineRule="auto"/>
              <w:rPr>
                <w:rFonts w:cs="Arial"/>
              </w:rPr>
            </w:pPr>
            <w:r w:rsidRPr="00C27859">
              <w:rPr>
                <w:rFonts w:cs="Arial"/>
              </w:rPr>
              <w:t xml:space="preserve">Using excellent negotiation skills, liaise with a range of organisations and companies such as </w:t>
            </w:r>
            <w:r w:rsidR="009424D6" w:rsidRPr="00C27859">
              <w:rPr>
                <w:rFonts w:cs="Arial"/>
              </w:rPr>
              <w:t xml:space="preserve">Advocates, Legal Centres, </w:t>
            </w:r>
            <w:r w:rsidRPr="00C27859">
              <w:rPr>
                <w:rFonts w:cs="Arial"/>
              </w:rPr>
              <w:t>Landlords, Citizens Advice, local support and advice services, banks/building societies</w:t>
            </w:r>
            <w:r w:rsidR="009F6E27" w:rsidRPr="00C27859">
              <w:rPr>
                <w:rFonts w:cs="Arial"/>
              </w:rPr>
              <w:t>, police and DWP.</w:t>
            </w:r>
          </w:p>
          <w:p w14:paraId="368DBF8E" w14:textId="169D1BD0" w:rsidR="00EE675D" w:rsidRPr="00C27859" w:rsidRDefault="00A46337" w:rsidP="007218F9">
            <w:pPr>
              <w:spacing w:after="160" w:line="259" w:lineRule="auto"/>
              <w:rPr>
                <w:rFonts w:cs="Arial"/>
              </w:rPr>
            </w:pPr>
            <w:r w:rsidRPr="00C27859">
              <w:rPr>
                <w:rFonts w:cs="Arial"/>
              </w:rPr>
              <w:t>To request and facilitate the placement of households into temporary accommodation</w:t>
            </w:r>
            <w:r w:rsidR="008152DA" w:rsidRPr="00C27859">
              <w:rPr>
                <w:rFonts w:cs="Arial"/>
              </w:rPr>
              <w:t xml:space="preserve"> when a duty is triggered</w:t>
            </w:r>
            <w:r w:rsidRPr="00C27859">
              <w:rPr>
                <w:rFonts w:cs="Arial"/>
              </w:rPr>
              <w:t xml:space="preserve"> in line with </w:t>
            </w:r>
            <w:r w:rsidR="004F7138" w:rsidRPr="00C27859">
              <w:rPr>
                <w:rFonts w:cs="Arial"/>
              </w:rPr>
              <w:t>current legislation, guidance and procedures.</w:t>
            </w:r>
          </w:p>
          <w:p w14:paraId="397BD059" w14:textId="7B54FDEB" w:rsidR="004F7138" w:rsidRPr="00C27859" w:rsidRDefault="004F7138" w:rsidP="007218F9">
            <w:pPr>
              <w:spacing w:after="160" w:line="259" w:lineRule="auto"/>
              <w:rPr>
                <w:rFonts w:cs="Arial"/>
              </w:rPr>
            </w:pPr>
            <w:r w:rsidRPr="00C27859">
              <w:rPr>
                <w:rFonts w:cs="Arial"/>
              </w:rPr>
              <w:t>Ensure the effective and best use of temporary accommodation, having regard to the suitability of the accommodation to the household and the cost to the Council.</w:t>
            </w:r>
          </w:p>
          <w:p w14:paraId="1884AEF6" w14:textId="4711DECE" w:rsidR="004F7138" w:rsidRPr="00C27859" w:rsidRDefault="004F7138" w:rsidP="007218F9">
            <w:pPr>
              <w:spacing w:after="160" w:line="259" w:lineRule="auto"/>
              <w:rPr>
                <w:rFonts w:cs="Arial"/>
              </w:rPr>
            </w:pPr>
            <w:r w:rsidRPr="00C27859">
              <w:rPr>
                <w:rFonts w:cs="Arial"/>
              </w:rPr>
              <w:t>Arrange for personal property and belongings to be placed into storage in line with relevant legislation, guidance and procedures.</w:t>
            </w:r>
          </w:p>
          <w:p w14:paraId="6BB98857" w14:textId="33781153" w:rsidR="009F6E27" w:rsidRPr="00C27859" w:rsidRDefault="004F7138" w:rsidP="007218F9">
            <w:pPr>
              <w:spacing w:after="160" w:line="259" w:lineRule="auto"/>
              <w:rPr>
                <w:rFonts w:cs="Arial"/>
              </w:rPr>
            </w:pPr>
            <w:r w:rsidRPr="00C27859">
              <w:rPr>
                <w:rFonts w:cs="Arial"/>
              </w:rPr>
              <w:t xml:space="preserve">Assess applications for financial assistance and securing a tenancy in the PRS, ensuring </w:t>
            </w:r>
            <w:r w:rsidR="003E3F63" w:rsidRPr="00C27859">
              <w:rPr>
                <w:rFonts w:cs="Arial"/>
              </w:rPr>
              <w:t xml:space="preserve">the best use of funds, </w:t>
            </w:r>
            <w:r w:rsidRPr="00C27859">
              <w:rPr>
                <w:rFonts w:cs="Arial"/>
              </w:rPr>
              <w:t>affordability and other criteria are met.</w:t>
            </w:r>
          </w:p>
          <w:p w14:paraId="790BA4C2" w14:textId="0A22BF15" w:rsidR="004F7138" w:rsidRPr="00C27859" w:rsidRDefault="004F7138" w:rsidP="007218F9">
            <w:pPr>
              <w:spacing w:after="160" w:line="259" w:lineRule="auto"/>
              <w:rPr>
                <w:rFonts w:cs="Arial"/>
              </w:rPr>
            </w:pPr>
            <w:r w:rsidRPr="00C27859">
              <w:rPr>
                <w:rFonts w:cs="Arial"/>
              </w:rPr>
              <w:t xml:space="preserve">To investigate allegations of harassment and illegal eviction </w:t>
            </w:r>
            <w:r w:rsidR="003E3F63" w:rsidRPr="00C27859">
              <w:rPr>
                <w:rFonts w:cs="Arial"/>
              </w:rPr>
              <w:t>as defined by the Protection from Eviction Act 1977</w:t>
            </w:r>
            <w:r w:rsidR="00A912D9" w:rsidRPr="00C27859">
              <w:rPr>
                <w:rFonts w:cs="Arial"/>
              </w:rPr>
              <w:t xml:space="preserve"> &amp; Protection from Harassment act 1997.</w:t>
            </w:r>
          </w:p>
          <w:p w14:paraId="4C097622" w14:textId="4DFCE5FA" w:rsidR="00A912D9" w:rsidRPr="00C27859" w:rsidRDefault="00A912D9" w:rsidP="007218F9">
            <w:pPr>
              <w:spacing w:after="160" w:line="259" w:lineRule="auto"/>
              <w:rPr>
                <w:rFonts w:cs="Arial"/>
              </w:rPr>
            </w:pPr>
            <w:r w:rsidRPr="00C27859">
              <w:rPr>
                <w:rFonts w:cs="Arial"/>
              </w:rPr>
              <w:t>Evaluate own skills and knowledge, identifying any training needs.</w:t>
            </w:r>
          </w:p>
          <w:p w14:paraId="1A5E0F3A" w14:textId="0A240BB0" w:rsidR="00601900" w:rsidRPr="00C27859" w:rsidRDefault="00785C20" w:rsidP="007C0CEE">
            <w:pPr>
              <w:spacing w:after="160" w:line="259" w:lineRule="auto"/>
              <w:rPr>
                <w:rFonts w:cs="Arial"/>
                <w:color w:val="FF0000"/>
              </w:rPr>
            </w:pPr>
            <w:r w:rsidRPr="00C27859">
              <w:rPr>
                <w:rFonts w:cs="Arial"/>
                <w:b/>
                <w:bCs/>
              </w:rPr>
              <w:t>When do I need to involve others?</w:t>
            </w:r>
            <w:r w:rsidR="007C0CEE" w:rsidRPr="00C27859">
              <w:rPr>
                <w:rFonts w:cs="Arial"/>
                <w:b/>
                <w:bCs/>
              </w:rPr>
              <w:t xml:space="preserve"> </w:t>
            </w:r>
          </w:p>
          <w:p w14:paraId="782CBF2E" w14:textId="221F891B" w:rsidR="007C0CEE" w:rsidRPr="00C27859" w:rsidRDefault="003E3F63" w:rsidP="007C0CEE">
            <w:pPr>
              <w:spacing w:after="160" w:line="259" w:lineRule="auto"/>
              <w:rPr>
                <w:rFonts w:cs="Arial"/>
              </w:rPr>
            </w:pPr>
            <w:r w:rsidRPr="00C27859">
              <w:rPr>
                <w:rFonts w:cs="Arial"/>
              </w:rPr>
              <w:t>Contribute to the development and improvement of the Council’s Housing Options service.</w:t>
            </w:r>
          </w:p>
          <w:p w14:paraId="5EA42FD5" w14:textId="7F87CEC9" w:rsidR="003E3F63" w:rsidRPr="00C27859" w:rsidRDefault="003E3F63" w:rsidP="007C0CEE">
            <w:pPr>
              <w:spacing w:after="160" w:line="259" w:lineRule="auto"/>
              <w:rPr>
                <w:rFonts w:cs="Arial"/>
              </w:rPr>
            </w:pPr>
            <w:r w:rsidRPr="00C27859">
              <w:rPr>
                <w:rFonts w:cs="Arial"/>
              </w:rPr>
              <w:t>Take a collaborative and holistic approach to supporting residents</w:t>
            </w:r>
            <w:r w:rsidR="008152DA" w:rsidRPr="00C27859">
              <w:rPr>
                <w:rFonts w:cs="Arial"/>
              </w:rPr>
              <w:t xml:space="preserve"> in housing need</w:t>
            </w:r>
            <w:r w:rsidRPr="00C27859">
              <w:rPr>
                <w:rFonts w:cs="Arial"/>
              </w:rPr>
              <w:t>, covering a range of issues relating to housing problems, homelessness and associated issues</w:t>
            </w:r>
            <w:r w:rsidR="00A912D9" w:rsidRPr="00C27859">
              <w:rPr>
                <w:rFonts w:cs="Arial"/>
              </w:rPr>
              <w:t xml:space="preserve"> involving a professional multi-disciplinary team.</w:t>
            </w:r>
          </w:p>
          <w:p w14:paraId="1F3446D6" w14:textId="30275D6B" w:rsidR="003E3F63" w:rsidRPr="00C27859" w:rsidRDefault="003E3F63" w:rsidP="007C0CEE">
            <w:pPr>
              <w:spacing w:after="160" w:line="259" w:lineRule="auto"/>
              <w:rPr>
                <w:rFonts w:cs="Arial"/>
              </w:rPr>
            </w:pPr>
            <w:r w:rsidRPr="00C27859">
              <w:rPr>
                <w:rFonts w:cs="Arial"/>
              </w:rPr>
              <w:lastRenderedPageBreak/>
              <w:t>Seek approval from a Senior Officer for certain functions, including temporary accommodation placements and financial payments.</w:t>
            </w:r>
          </w:p>
          <w:p w14:paraId="52EBF355" w14:textId="3D6E1F39" w:rsidR="009F6E27" w:rsidRPr="00C27859" w:rsidRDefault="009F6E27" w:rsidP="007C0CEE">
            <w:pPr>
              <w:spacing w:after="160" w:line="259" w:lineRule="auto"/>
              <w:rPr>
                <w:rFonts w:cs="Arial"/>
              </w:rPr>
            </w:pPr>
            <w:r w:rsidRPr="00C27859">
              <w:rPr>
                <w:rFonts w:cs="Arial"/>
              </w:rPr>
              <w:t>Trigger safeguarding investigations with the appropriate agencies when concerns arise relating to vulnerable individuals.</w:t>
            </w:r>
          </w:p>
          <w:p w14:paraId="76F95E7C" w14:textId="77777777" w:rsidR="00A912D9" w:rsidRPr="00C27859" w:rsidRDefault="00A912D9" w:rsidP="007C0CEE">
            <w:pPr>
              <w:spacing w:after="160" w:line="259" w:lineRule="auto"/>
              <w:rPr>
                <w:rFonts w:cs="Arial"/>
              </w:rPr>
            </w:pPr>
          </w:p>
          <w:p w14:paraId="352EA6D0" w14:textId="12CDB6C2" w:rsidR="007C0CEE" w:rsidRPr="00C27859" w:rsidRDefault="007C0CEE" w:rsidP="007C0CEE">
            <w:pPr>
              <w:spacing w:after="160" w:line="259" w:lineRule="auto"/>
              <w:rPr>
                <w:rFonts w:cs="Arial"/>
              </w:rPr>
            </w:pPr>
          </w:p>
        </w:tc>
      </w:tr>
      <w:tr w:rsidR="007218F9" w:rsidRPr="00686D54" w14:paraId="3728F3BC" w14:textId="77777777" w:rsidTr="00120D01">
        <w:tc>
          <w:tcPr>
            <w:tcW w:w="9060" w:type="dxa"/>
            <w:gridSpan w:val="2"/>
            <w:shd w:val="clear" w:color="auto" w:fill="00B050"/>
          </w:tcPr>
          <w:p w14:paraId="6A115CFB" w14:textId="55B95795" w:rsidR="007218F9" w:rsidRPr="00276CD2" w:rsidRDefault="00C65A77" w:rsidP="00276CD2">
            <w:pPr>
              <w:spacing w:after="160" w:line="259" w:lineRule="auto"/>
              <w:rPr>
                <w:rFonts w:cs="Arial"/>
                <w:color w:val="FFFFFF" w:themeColor="background1"/>
              </w:rPr>
            </w:pPr>
            <w:r>
              <w:rPr>
                <w:rFonts w:cs="Arial"/>
                <w:b/>
                <w:bCs/>
                <w:color w:val="FFFFFF" w:themeColor="background1"/>
              </w:rPr>
              <w:lastRenderedPageBreak/>
              <w:t>JOB PURPOSE</w:t>
            </w:r>
            <w:r w:rsidR="00276CD2">
              <w:rPr>
                <w:rFonts w:cs="Arial"/>
                <w:b/>
                <w:bCs/>
                <w:color w:val="FFFFFF" w:themeColor="background1"/>
              </w:rPr>
              <w:t xml:space="preserve"> </w:t>
            </w:r>
            <w:r w:rsidR="00276CD2" w:rsidRPr="00276CD2">
              <w:rPr>
                <w:rFonts w:cs="Arial"/>
                <w:color w:val="FFFFFF" w:themeColor="background1"/>
              </w:rPr>
              <w:t>(COMPLEXITY)</w:t>
            </w:r>
          </w:p>
        </w:tc>
      </w:tr>
      <w:tr w:rsidR="007218F9" w:rsidRPr="00686D54" w14:paraId="635A7833" w14:textId="77777777" w:rsidTr="0048417D">
        <w:tc>
          <w:tcPr>
            <w:tcW w:w="9060" w:type="dxa"/>
            <w:gridSpan w:val="2"/>
          </w:tcPr>
          <w:p w14:paraId="7AE0737F" w14:textId="416E8035" w:rsidR="00432048" w:rsidRDefault="00785C20" w:rsidP="00432048">
            <w:pPr>
              <w:numPr>
                <w:ilvl w:val="0"/>
                <w:numId w:val="15"/>
              </w:numPr>
              <w:ind w:left="426" w:hanging="426"/>
              <w:rPr>
                <w:rFonts w:cs="Arial"/>
              </w:rPr>
            </w:pPr>
            <w:r w:rsidRPr="001B75E1">
              <w:rPr>
                <w:rFonts w:cs="Arial"/>
                <w:b/>
                <w:bCs/>
              </w:rPr>
              <w:t>Why does this job exist?</w:t>
            </w:r>
            <w:r w:rsidR="00432048">
              <w:rPr>
                <w:rFonts w:cs="Arial"/>
              </w:rPr>
              <w:t xml:space="preserve"> To provide an effective, customer-friendly and efficient service to clients presenting with housing problems; to support them in keeping their current home or in accessing a new home in the public or private housing sector.</w:t>
            </w:r>
          </w:p>
          <w:p w14:paraId="0FBBD9C2" w14:textId="77777777" w:rsidR="00432048" w:rsidRDefault="00432048" w:rsidP="00432048">
            <w:pPr>
              <w:ind w:left="426"/>
              <w:rPr>
                <w:rFonts w:cs="Arial"/>
              </w:rPr>
            </w:pPr>
          </w:p>
          <w:p w14:paraId="349D9C74" w14:textId="77777777" w:rsidR="00432048" w:rsidRDefault="00432048" w:rsidP="00432048">
            <w:pPr>
              <w:numPr>
                <w:ilvl w:val="0"/>
                <w:numId w:val="15"/>
              </w:numPr>
              <w:ind w:left="426" w:hanging="426"/>
              <w:rPr>
                <w:rFonts w:cs="Arial"/>
              </w:rPr>
            </w:pPr>
            <w:r>
              <w:rPr>
                <w:rFonts w:cs="Arial"/>
              </w:rPr>
              <w:t>To advise clients on full range of options to solve their housing problem, including intervention if threatened with homelessness, accessing the private rented sector, registering on the housing register, mutual exchange for Council tenants, shared ownership and any other housing solution.</w:t>
            </w:r>
          </w:p>
          <w:p w14:paraId="1D87D1BA" w14:textId="77777777" w:rsidR="00432048" w:rsidRDefault="00432048" w:rsidP="00432048">
            <w:pPr>
              <w:pStyle w:val="ListParagraph"/>
              <w:rPr>
                <w:rFonts w:cs="Arial"/>
              </w:rPr>
            </w:pPr>
          </w:p>
          <w:p w14:paraId="7E85A043" w14:textId="77777777" w:rsidR="00432048" w:rsidRDefault="00432048" w:rsidP="00432048">
            <w:pPr>
              <w:numPr>
                <w:ilvl w:val="0"/>
                <w:numId w:val="15"/>
              </w:numPr>
              <w:ind w:left="426" w:hanging="426"/>
              <w:rPr>
                <w:rFonts w:cs="Arial"/>
              </w:rPr>
            </w:pPr>
            <w:r>
              <w:rPr>
                <w:rFonts w:cs="Arial"/>
              </w:rPr>
              <w:t xml:space="preserve">To provide a professional and effective housing options interview and homelessness investigation service for those homeless or threatened with homelessness; making a full assessment of the housing and support needs of the presenting household, issuing personalised housing plans (PHPs) to prevent and relieve homelessness irrespective of the customer’s priority need or intentionality status. </w:t>
            </w:r>
            <w:r>
              <w:rPr>
                <w:rFonts w:cs="Arial"/>
                <w:color w:val="000000"/>
              </w:rPr>
              <w:t>This Plan will ensure that homelessness is prevented or relieved through active engagement with council and private sector services.</w:t>
            </w:r>
          </w:p>
          <w:p w14:paraId="6762266B" w14:textId="77777777" w:rsidR="00432048" w:rsidRDefault="00432048" w:rsidP="00432048">
            <w:pPr>
              <w:pStyle w:val="ListParagraph"/>
              <w:rPr>
                <w:rFonts w:cs="Arial"/>
                <w:color w:val="000000"/>
              </w:rPr>
            </w:pPr>
          </w:p>
          <w:p w14:paraId="3B68CF48" w14:textId="77777777" w:rsidR="00432048" w:rsidRDefault="00432048" w:rsidP="00432048">
            <w:pPr>
              <w:numPr>
                <w:ilvl w:val="0"/>
                <w:numId w:val="15"/>
              </w:numPr>
              <w:ind w:left="426" w:hanging="426"/>
              <w:rPr>
                <w:rFonts w:cs="Arial"/>
              </w:rPr>
            </w:pPr>
            <w:r>
              <w:rPr>
                <w:rFonts w:cs="Arial"/>
              </w:rPr>
              <w:t>To manage own case load from triage (initial assessment), to interview, PHP, keeping the PHP under review and managing tasks set for the client and council to achieve prevention and relief options through to a successful outcome.</w:t>
            </w:r>
          </w:p>
          <w:p w14:paraId="3EE4D306" w14:textId="77777777" w:rsidR="00432048" w:rsidRDefault="00432048" w:rsidP="00432048">
            <w:pPr>
              <w:pStyle w:val="ListParagraph"/>
              <w:rPr>
                <w:rFonts w:cs="Arial"/>
              </w:rPr>
            </w:pPr>
          </w:p>
          <w:p w14:paraId="6B806D29" w14:textId="77777777" w:rsidR="00432048" w:rsidRDefault="00432048" w:rsidP="00432048">
            <w:pPr>
              <w:numPr>
                <w:ilvl w:val="0"/>
                <w:numId w:val="15"/>
              </w:numPr>
              <w:ind w:left="426" w:hanging="426"/>
              <w:rPr>
                <w:rFonts w:cs="Arial"/>
              </w:rPr>
            </w:pPr>
            <w:r>
              <w:rPr>
                <w:rFonts w:cs="Arial"/>
              </w:rPr>
              <w:t>To provide advice services to clients through face to face or telephone interviews, written correspondence and home visiting.</w:t>
            </w:r>
          </w:p>
          <w:p w14:paraId="38E8B1E2" w14:textId="77777777" w:rsidR="00432048" w:rsidRDefault="00432048" w:rsidP="00432048">
            <w:pPr>
              <w:pStyle w:val="ListParagraph"/>
              <w:rPr>
                <w:rFonts w:cs="Arial"/>
              </w:rPr>
            </w:pPr>
          </w:p>
          <w:p w14:paraId="51FD0BD5" w14:textId="77777777" w:rsidR="00432048" w:rsidRDefault="00432048" w:rsidP="00432048">
            <w:pPr>
              <w:numPr>
                <w:ilvl w:val="0"/>
                <w:numId w:val="15"/>
              </w:numPr>
              <w:ind w:left="426" w:hanging="426"/>
              <w:rPr>
                <w:rFonts w:cs="Arial"/>
              </w:rPr>
            </w:pPr>
            <w:r>
              <w:rPr>
                <w:rFonts w:cs="Arial"/>
                <w:snapToGrid w:val="0"/>
                <w:lang w:val="en-US"/>
              </w:rPr>
              <w:t>To promote the use of the private rented sector by actively seeking accommodation on behalf of applicants, providing information about available accommodation and housing benefit entitlements and, where appropriate, by completing applications for assistance with deposits/rent in advance through the provision of deposit guarantees, loans and guarantor schemes.</w:t>
            </w:r>
          </w:p>
          <w:p w14:paraId="73BBD752" w14:textId="77777777" w:rsidR="00432048" w:rsidRDefault="00432048" w:rsidP="00432048">
            <w:pPr>
              <w:pStyle w:val="ListParagraph"/>
              <w:rPr>
                <w:rFonts w:cs="Arial"/>
              </w:rPr>
            </w:pPr>
          </w:p>
          <w:p w14:paraId="0840690B" w14:textId="77777777" w:rsidR="00432048" w:rsidRDefault="00432048" w:rsidP="00432048">
            <w:pPr>
              <w:numPr>
                <w:ilvl w:val="0"/>
                <w:numId w:val="15"/>
              </w:numPr>
              <w:ind w:left="426" w:hanging="426"/>
              <w:rPr>
                <w:rFonts w:cs="Arial"/>
              </w:rPr>
            </w:pPr>
            <w:r>
              <w:rPr>
                <w:rFonts w:cs="Arial"/>
                <w:snapToGrid w:val="0"/>
                <w:lang w:val="en-US"/>
              </w:rPr>
              <w:t>To ensure that the Council’s duties under the homelessness legislation are properly discharged and that accommodation, including B&amp;B accommodation in an emergency, is available for qualifying homeless households.</w:t>
            </w:r>
          </w:p>
          <w:p w14:paraId="2A0A6F0A" w14:textId="77777777" w:rsidR="00432048" w:rsidRDefault="00432048" w:rsidP="00432048">
            <w:pPr>
              <w:rPr>
                <w:rFonts w:cs="Arial"/>
              </w:rPr>
            </w:pPr>
          </w:p>
          <w:p w14:paraId="6D529444" w14:textId="77777777" w:rsidR="00432048" w:rsidRDefault="00432048" w:rsidP="00432048">
            <w:pPr>
              <w:numPr>
                <w:ilvl w:val="0"/>
                <w:numId w:val="15"/>
              </w:numPr>
              <w:ind w:left="426" w:hanging="426"/>
              <w:rPr>
                <w:rFonts w:cs="Arial"/>
              </w:rPr>
            </w:pPr>
            <w:r>
              <w:rPr>
                <w:rFonts w:cs="Arial"/>
                <w:color w:val="000000"/>
              </w:rPr>
              <w:t>To use own initiative and creative thinking, to prevent and relieve homelessness for your case load. This includes making practical, innovative solutions outside of a housing context, to alleviate situations which threaten a housing situation.</w:t>
            </w:r>
          </w:p>
          <w:p w14:paraId="140EF967" w14:textId="77777777" w:rsidR="00432048" w:rsidRDefault="00432048" w:rsidP="00432048">
            <w:pPr>
              <w:pStyle w:val="ListParagraph"/>
              <w:rPr>
                <w:rFonts w:cs="Arial"/>
                <w:color w:val="000000"/>
              </w:rPr>
            </w:pPr>
          </w:p>
          <w:p w14:paraId="1D82B245" w14:textId="77777777" w:rsidR="00432048" w:rsidRDefault="00432048" w:rsidP="00432048">
            <w:pPr>
              <w:numPr>
                <w:ilvl w:val="0"/>
                <w:numId w:val="15"/>
              </w:numPr>
              <w:ind w:left="426" w:hanging="426"/>
              <w:rPr>
                <w:rFonts w:cs="Arial"/>
              </w:rPr>
            </w:pPr>
            <w:r>
              <w:rPr>
                <w:rFonts w:cs="Arial"/>
                <w:color w:val="000000"/>
              </w:rPr>
              <w:t>To write and issue statutory notification letters under the Homelessness Reduction Act 2017, s.184 decision letters, letters of referral to other authorities where an applicant’s local connection lies elsewhere and all other statutory documents relating to homelessness.</w:t>
            </w:r>
          </w:p>
          <w:p w14:paraId="39FDD057" w14:textId="77777777" w:rsidR="00432048" w:rsidRDefault="00432048" w:rsidP="00432048">
            <w:pPr>
              <w:pStyle w:val="ListParagraph"/>
              <w:rPr>
                <w:rFonts w:cs="Arial"/>
              </w:rPr>
            </w:pPr>
          </w:p>
          <w:p w14:paraId="592E7A30" w14:textId="77777777" w:rsidR="00432048" w:rsidRDefault="00432048" w:rsidP="00432048">
            <w:pPr>
              <w:numPr>
                <w:ilvl w:val="0"/>
                <w:numId w:val="15"/>
              </w:numPr>
              <w:ind w:left="426" w:hanging="426"/>
              <w:rPr>
                <w:rFonts w:cs="Arial"/>
              </w:rPr>
            </w:pPr>
            <w:r>
              <w:rPr>
                <w:rFonts w:cs="Arial"/>
                <w:snapToGrid w:val="0"/>
                <w:lang w:val="en-US"/>
              </w:rPr>
              <w:t xml:space="preserve">To carry out enquiries </w:t>
            </w:r>
            <w:proofErr w:type="gramStart"/>
            <w:r>
              <w:rPr>
                <w:rFonts w:cs="Arial"/>
                <w:snapToGrid w:val="0"/>
                <w:lang w:val="en-US"/>
              </w:rPr>
              <w:t>in order to</w:t>
            </w:r>
            <w:proofErr w:type="gramEnd"/>
            <w:r>
              <w:rPr>
                <w:rFonts w:cs="Arial"/>
                <w:snapToGrid w:val="0"/>
                <w:lang w:val="en-US"/>
              </w:rPr>
              <w:t xml:space="preserve"> establish eligibility for the Council’s housing register and confirm the details provided by applicants to ensure that their relative priority has been properly determined in accordance with the Council’s approved Allocations scheme.</w:t>
            </w:r>
          </w:p>
          <w:p w14:paraId="67126272" w14:textId="77777777" w:rsidR="00432048" w:rsidRDefault="00432048" w:rsidP="00432048">
            <w:pPr>
              <w:pStyle w:val="ListParagraph"/>
              <w:rPr>
                <w:rFonts w:cs="Arial"/>
              </w:rPr>
            </w:pPr>
          </w:p>
          <w:p w14:paraId="4757958B" w14:textId="77777777" w:rsidR="00432048" w:rsidRDefault="00432048" w:rsidP="00432048">
            <w:pPr>
              <w:numPr>
                <w:ilvl w:val="0"/>
                <w:numId w:val="15"/>
              </w:numPr>
              <w:ind w:left="426" w:hanging="426"/>
              <w:rPr>
                <w:rFonts w:cs="Arial"/>
              </w:rPr>
            </w:pPr>
            <w:r>
              <w:rPr>
                <w:rFonts w:cs="Arial"/>
              </w:rPr>
              <w:t>To comply with all relevant Housing legislation, statutory requirements, Codes of Guidance, case law, local policies and procedures, performance standards and homelessness prevention practice.</w:t>
            </w:r>
          </w:p>
          <w:p w14:paraId="0610BF14" w14:textId="77777777" w:rsidR="00432048" w:rsidRDefault="00432048" w:rsidP="00432048">
            <w:pPr>
              <w:pStyle w:val="ListParagraph"/>
              <w:rPr>
                <w:rFonts w:cs="Arial"/>
              </w:rPr>
            </w:pPr>
          </w:p>
          <w:p w14:paraId="4B7F23FA" w14:textId="77777777" w:rsidR="00432048" w:rsidRDefault="00432048" w:rsidP="00432048">
            <w:pPr>
              <w:numPr>
                <w:ilvl w:val="0"/>
                <w:numId w:val="15"/>
              </w:numPr>
              <w:ind w:left="426" w:hanging="426"/>
              <w:rPr>
                <w:rFonts w:cs="Arial"/>
              </w:rPr>
            </w:pPr>
            <w:r>
              <w:rPr>
                <w:rFonts w:cs="Arial"/>
                <w:color w:val="000000"/>
              </w:rPr>
              <w:t>To maintain accurate written and computer records, reports and other monitoring information, such as government returns (H-CLIC), as required in connection with the various duties undertaken, and keep other records necessary to provide an adequate management information data base.</w:t>
            </w:r>
          </w:p>
          <w:p w14:paraId="6794131F" w14:textId="77777777" w:rsidR="00432048" w:rsidRDefault="00432048" w:rsidP="00432048">
            <w:pPr>
              <w:pStyle w:val="ListParagraph"/>
              <w:rPr>
                <w:rFonts w:cs="Arial"/>
              </w:rPr>
            </w:pPr>
          </w:p>
          <w:p w14:paraId="36AE7C48" w14:textId="77777777" w:rsidR="00432048" w:rsidRDefault="00432048" w:rsidP="00432048">
            <w:pPr>
              <w:numPr>
                <w:ilvl w:val="0"/>
                <w:numId w:val="15"/>
              </w:numPr>
              <w:ind w:left="426" w:hanging="426"/>
              <w:rPr>
                <w:rFonts w:cs="Arial"/>
              </w:rPr>
            </w:pPr>
            <w:r>
              <w:rPr>
                <w:rFonts w:cs="Arial"/>
              </w:rPr>
              <w:t>To develop effective working relationships with colleagues within the Housing service and other statutory and voluntary services, ensuring effective referrals are made for clients in need of support from other services under their PHP.</w:t>
            </w:r>
          </w:p>
          <w:p w14:paraId="5EE29ED6" w14:textId="77777777" w:rsidR="00432048" w:rsidRDefault="00432048" w:rsidP="00432048">
            <w:pPr>
              <w:pStyle w:val="ListParagraph"/>
              <w:rPr>
                <w:rFonts w:cs="Arial"/>
              </w:rPr>
            </w:pPr>
          </w:p>
          <w:p w14:paraId="36F458ED" w14:textId="77777777" w:rsidR="00432048" w:rsidRDefault="00432048" w:rsidP="00432048">
            <w:pPr>
              <w:numPr>
                <w:ilvl w:val="0"/>
                <w:numId w:val="15"/>
              </w:numPr>
              <w:ind w:left="426" w:hanging="426"/>
              <w:rPr>
                <w:rFonts w:cs="Arial"/>
              </w:rPr>
            </w:pPr>
            <w:r>
              <w:rPr>
                <w:rFonts w:cs="Arial"/>
              </w:rPr>
              <w:t>To advise clients of available tenancy support services including income maximisation, Discretionary Housing Payments, under occupation schemes, mutual exchange, debt and rent arrears advice and HB support.</w:t>
            </w:r>
          </w:p>
          <w:p w14:paraId="57044620" w14:textId="77777777" w:rsidR="00432048" w:rsidRDefault="00432048" w:rsidP="00432048">
            <w:pPr>
              <w:pStyle w:val="ListParagraph"/>
              <w:rPr>
                <w:rFonts w:cs="Arial"/>
              </w:rPr>
            </w:pPr>
          </w:p>
          <w:p w14:paraId="5A032525" w14:textId="77777777" w:rsidR="00432048" w:rsidRDefault="00432048" w:rsidP="00432048">
            <w:pPr>
              <w:numPr>
                <w:ilvl w:val="0"/>
                <w:numId w:val="15"/>
              </w:numPr>
              <w:ind w:left="426" w:hanging="426"/>
              <w:rPr>
                <w:rFonts w:cs="Arial"/>
              </w:rPr>
            </w:pPr>
            <w:r>
              <w:rPr>
                <w:rFonts w:cs="Arial"/>
              </w:rPr>
              <w:t xml:space="preserve">To assist in developing full range of information and publicity for all clients as well as internal procedures. </w:t>
            </w:r>
          </w:p>
          <w:p w14:paraId="45B4EF62" w14:textId="77777777" w:rsidR="00432048" w:rsidRDefault="00432048" w:rsidP="00432048">
            <w:pPr>
              <w:pStyle w:val="ListParagraph"/>
              <w:rPr>
                <w:rFonts w:cs="Arial"/>
                <w:color w:val="000000"/>
              </w:rPr>
            </w:pPr>
          </w:p>
          <w:p w14:paraId="49504E81" w14:textId="77777777" w:rsidR="00432048" w:rsidRDefault="00432048" w:rsidP="00432048">
            <w:pPr>
              <w:numPr>
                <w:ilvl w:val="0"/>
                <w:numId w:val="15"/>
              </w:numPr>
              <w:ind w:left="426" w:hanging="426"/>
              <w:rPr>
                <w:rFonts w:cs="Arial"/>
              </w:rPr>
            </w:pPr>
            <w:r>
              <w:rPr>
                <w:rFonts w:cs="Arial"/>
                <w:color w:val="000000"/>
              </w:rPr>
              <w:t>To understand the value of information to the council and to contribute to good information governance by keeping information safe, in accordance with the General Data Protection Regulations (GDPR). The officer is required to abide by the council’s information governance policies.</w:t>
            </w:r>
          </w:p>
          <w:p w14:paraId="28E084C7" w14:textId="77777777" w:rsidR="00432048" w:rsidRDefault="00432048" w:rsidP="00432048">
            <w:pPr>
              <w:pStyle w:val="ListParagraph"/>
              <w:rPr>
                <w:rFonts w:cs="Arial"/>
                <w:snapToGrid w:val="0"/>
                <w:sz w:val="22"/>
                <w:szCs w:val="20"/>
                <w:lang w:val="en-US"/>
              </w:rPr>
            </w:pPr>
          </w:p>
          <w:p w14:paraId="48529EEF" w14:textId="77777777" w:rsidR="00432048" w:rsidRDefault="00432048" w:rsidP="00432048">
            <w:pPr>
              <w:numPr>
                <w:ilvl w:val="0"/>
                <w:numId w:val="15"/>
              </w:numPr>
              <w:ind w:left="426" w:hanging="426"/>
              <w:rPr>
                <w:rFonts w:cs="Arial"/>
              </w:rPr>
            </w:pPr>
            <w:r>
              <w:rPr>
                <w:rFonts w:cs="Arial"/>
                <w:snapToGrid w:val="0"/>
                <w:lang w:val="en-US"/>
              </w:rPr>
              <w:t>To be aware of Key Performance Indicators at both local and national level, and to help to ensure that targets are met wherever possible.</w:t>
            </w:r>
          </w:p>
          <w:p w14:paraId="24A80C18" w14:textId="77777777" w:rsidR="00432048" w:rsidRDefault="00432048" w:rsidP="00432048">
            <w:pPr>
              <w:pStyle w:val="ListParagraph"/>
              <w:rPr>
                <w:rFonts w:cs="Arial"/>
                <w:snapToGrid w:val="0"/>
                <w:lang w:val="en-US"/>
              </w:rPr>
            </w:pPr>
          </w:p>
          <w:p w14:paraId="5DE4C351" w14:textId="77777777" w:rsidR="00432048" w:rsidRDefault="00432048" w:rsidP="00432048">
            <w:pPr>
              <w:numPr>
                <w:ilvl w:val="0"/>
                <w:numId w:val="15"/>
              </w:numPr>
              <w:ind w:left="426" w:hanging="426"/>
              <w:rPr>
                <w:rFonts w:cs="Arial"/>
              </w:rPr>
            </w:pPr>
            <w:r>
              <w:rPr>
                <w:rFonts w:cs="Arial"/>
                <w:snapToGrid w:val="0"/>
                <w:lang w:val="en-US"/>
              </w:rPr>
              <w:t xml:space="preserve">In the absence of the Housing Options Team Leader and/or other members of the team, to ensure that the essential work arising is adequately dealt </w:t>
            </w:r>
            <w:proofErr w:type="gramStart"/>
            <w:r>
              <w:rPr>
                <w:rFonts w:cs="Arial"/>
                <w:snapToGrid w:val="0"/>
                <w:lang w:val="en-US"/>
              </w:rPr>
              <w:t>with;</w:t>
            </w:r>
            <w:proofErr w:type="gramEnd"/>
          </w:p>
          <w:p w14:paraId="2C25E905" w14:textId="77777777" w:rsidR="00432048" w:rsidRDefault="00432048" w:rsidP="00432048">
            <w:pPr>
              <w:pStyle w:val="ListParagraph"/>
              <w:rPr>
                <w:rFonts w:cs="Arial"/>
                <w:snapToGrid w:val="0"/>
                <w:lang w:val="en-US"/>
              </w:rPr>
            </w:pPr>
          </w:p>
          <w:p w14:paraId="4569428D" w14:textId="77777777" w:rsidR="00432048" w:rsidRDefault="00432048" w:rsidP="00432048">
            <w:pPr>
              <w:numPr>
                <w:ilvl w:val="0"/>
                <w:numId w:val="15"/>
              </w:numPr>
              <w:ind w:left="426" w:hanging="426"/>
              <w:rPr>
                <w:rFonts w:cs="Arial"/>
              </w:rPr>
            </w:pPr>
            <w:r>
              <w:rPr>
                <w:rFonts w:cs="Arial"/>
                <w:snapToGrid w:val="0"/>
                <w:lang w:val="en-US"/>
              </w:rPr>
              <w:t xml:space="preserve">To participate in a duty </w:t>
            </w:r>
            <w:proofErr w:type="spellStart"/>
            <w:r>
              <w:rPr>
                <w:rFonts w:cs="Arial"/>
                <w:snapToGrid w:val="0"/>
                <w:lang w:val="en-US"/>
              </w:rPr>
              <w:t>rota</w:t>
            </w:r>
            <w:proofErr w:type="spellEnd"/>
            <w:r>
              <w:rPr>
                <w:rFonts w:cs="Arial"/>
                <w:snapToGrid w:val="0"/>
                <w:lang w:val="en-US"/>
              </w:rPr>
              <w:t xml:space="preserve"> as required</w:t>
            </w:r>
          </w:p>
          <w:p w14:paraId="722AFDFA" w14:textId="77777777" w:rsidR="00432048" w:rsidRDefault="00432048" w:rsidP="00432048">
            <w:pPr>
              <w:pStyle w:val="ListParagraph"/>
              <w:rPr>
                <w:rFonts w:cs="Arial"/>
                <w:snapToGrid w:val="0"/>
                <w:lang w:val="en-US"/>
              </w:rPr>
            </w:pPr>
          </w:p>
          <w:p w14:paraId="765E4917" w14:textId="77777777" w:rsidR="00432048" w:rsidRDefault="00432048" w:rsidP="00432048">
            <w:pPr>
              <w:numPr>
                <w:ilvl w:val="0"/>
                <w:numId w:val="15"/>
              </w:numPr>
              <w:ind w:left="426" w:hanging="426"/>
              <w:rPr>
                <w:rFonts w:cs="Arial"/>
              </w:rPr>
            </w:pPr>
            <w:r>
              <w:rPr>
                <w:rFonts w:cs="Arial"/>
                <w:snapToGrid w:val="0"/>
                <w:lang w:val="en-US"/>
              </w:rPr>
              <w:t xml:space="preserve">To undertake such other duties as the Head of Housing may require. </w:t>
            </w:r>
          </w:p>
          <w:p w14:paraId="1A26FF81" w14:textId="77777777" w:rsidR="00432048" w:rsidRDefault="00432048" w:rsidP="00432048">
            <w:pPr>
              <w:pStyle w:val="ListParagraph"/>
              <w:rPr>
                <w:rFonts w:cs="Arial"/>
                <w:snapToGrid w:val="0"/>
                <w:lang w:val="en-US"/>
              </w:rPr>
            </w:pPr>
          </w:p>
          <w:p w14:paraId="6524ACFC" w14:textId="77777777" w:rsidR="00432048" w:rsidRDefault="00432048" w:rsidP="00432048">
            <w:pPr>
              <w:numPr>
                <w:ilvl w:val="0"/>
                <w:numId w:val="15"/>
              </w:numPr>
              <w:ind w:left="426" w:hanging="426"/>
              <w:rPr>
                <w:rFonts w:cs="Arial"/>
              </w:rPr>
            </w:pPr>
            <w:r>
              <w:rPr>
                <w:rFonts w:cs="Arial"/>
                <w:snapToGrid w:val="0"/>
                <w:lang w:val="en-US"/>
              </w:rPr>
              <w:t>To abide by the Council’s Equal Opportunity Policy Statement which makes a commitment to promote equal opportunities and race equality in Wealden.</w:t>
            </w:r>
          </w:p>
          <w:p w14:paraId="4B0D376F" w14:textId="77777777" w:rsidR="00432048" w:rsidRDefault="00432048" w:rsidP="00432048">
            <w:pPr>
              <w:pStyle w:val="ListParagraph"/>
              <w:rPr>
                <w:rFonts w:cs="Arial"/>
                <w:snapToGrid w:val="0"/>
                <w:lang w:val="en-US"/>
              </w:rPr>
            </w:pPr>
          </w:p>
          <w:p w14:paraId="023ED258" w14:textId="3F182EF2" w:rsidR="009424D6" w:rsidRPr="009424D6" w:rsidRDefault="00432048" w:rsidP="0048417D">
            <w:pPr>
              <w:spacing w:after="160" w:line="259" w:lineRule="auto"/>
              <w:rPr>
                <w:rFonts w:cs="Arial"/>
                <w:snapToGrid w:val="0"/>
                <w:lang w:val="en-US"/>
              </w:rPr>
            </w:pPr>
            <w:r>
              <w:rPr>
                <w:rFonts w:cs="Arial"/>
                <w:snapToGrid w:val="0"/>
                <w:lang w:val="en-US"/>
              </w:rPr>
              <w:lastRenderedPageBreak/>
              <w:t>To act in accordance with the Council’s Health &amp; Safety Policy to take reasonable care for your own health and safety and that of others who may be affected by your work activity</w:t>
            </w:r>
          </w:p>
          <w:p w14:paraId="64EEEA23" w14:textId="2458F168" w:rsidR="00785C20" w:rsidRDefault="00785C20" w:rsidP="0048417D">
            <w:pPr>
              <w:spacing w:after="160" w:line="259" w:lineRule="auto"/>
              <w:rPr>
                <w:rFonts w:cs="Arial"/>
                <w:b/>
                <w:bCs/>
              </w:rPr>
            </w:pPr>
            <w:r w:rsidRPr="001B75E1">
              <w:rPr>
                <w:rFonts w:cs="Arial"/>
                <w:b/>
                <w:bCs/>
              </w:rPr>
              <w:t>How does it contribute to the</w:t>
            </w:r>
            <w:r w:rsidR="00276CD2" w:rsidRPr="001B75E1">
              <w:rPr>
                <w:rFonts w:cs="Arial"/>
                <w:b/>
                <w:bCs/>
              </w:rPr>
              <w:t xml:space="preserve"> Council overall?</w:t>
            </w:r>
          </w:p>
          <w:p w14:paraId="0943A76C" w14:textId="44F6214C" w:rsidR="007C0CEE" w:rsidRPr="009424D6" w:rsidRDefault="009424D6" w:rsidP="0048417D">
            <w:pPr>
              <w:spacing w:after="160" w:line="259" w:lineRule="auto"/>
              <w:rPr>
                <w:rFonts w:cs="Arial"/>
              </w:rPr>
            </w:pPr>
            <w:r w:rsidRPr="009424D6">
              <w:rPr>
                <w:rFonts w:cs="Arial"/>
              </w:rPr>
              <w:t>The Council’s Housing Options service is a statutory function and fulfils the obligations set out in the Housing Act 1996, as amended.</w:t>
            </w:r>
          </w:p>
          <w:p w14:paraId="391B3203" w14:textId="4592E619" w:rsidR="00601900" w:rsidRPr="00686D54" w:rsidRDefault="00601900" w:rsidP="00276CD2">
            <w:pPr>
              <w:spacing w:after="160" w:line="259" w:lineRule="auto"/>
              <w:rPr>
                <w:rFonts w:cs="Arial"/>
              </w:rPr>
            </w:pP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A3817B3" w14:textId="1F478CBE" w:rsidR="00133892" w:rsidRPr="001B75E1" w:rsidRDefault="00FE058F" w:rsidP="00601900">
            <w:pPr>
              <w:spacing w:before="60" w:after="60"/>
              <w:ind w:right="227"/>
              <w:jc w:val="both"/>
              <w:rPr>
                <w:rFonts w:cs="Arial"/>
                <w:color w:val="FF0000"/>
              </w:rPr>
            </w:pPr>
            <w:r w:rsidRPr="001B75E1">
              <w:rPr>
                <w:rFonts w:cs="Arial"/>
                <w:b/>
                <w:bCs/>
              </w:rPr>
              <w:t xml:space="preserve">What are the </w:t>
            </w:r>
            <w:r w:rsidR="00133892" w:rsidRPr="001B75E1">
              <w:rPr>
                <w:rFonts w:cs="Arial"/>
                <w:b/>
                <w:bCs/>
              </w:rPr>
              <w:t>most important things I will be doing?</w:t>
            </w:r>
            <w:r w:rsidR="00133892">
              <w:rPr>
                <w:rFonts w:cs="Arial"/>
              </w:rPr>
              <w:t xml:space="preserve"> </w:t>
            </w:r>
          </w:p>
          <w:p w14:paraId="58C3023A" w14:textId="77777777" w:rsidR="00A747F8" w:rsidRDefault="00A747F8" w:rsidP="00A747F8">
            <w:pPr>
              <w:ind w:left="720"/>
              <w:rPr>
                <w:rFonts w:cs="Arial"/>
              </w:rPr>
            </w:pPr>
            <w:r>
              <w:rPr>
                <w:rFonts w:cs="Arial"/>
              </w:rPr>
              <w:t xml:space="preserve">To provide a professional and effective housing options interview and homelessness investigation service for those homeless or threatened with homelessness; making a full assessment of the housing and support needs of the presenting household, issuing personalised housing plans (PHPs) to prevent and relieve homelessness irrespective of the customer’s priority need or intentionality status. </w:t>
            </w:r>
            <w:r>
              <w:rPr>
                <w:rFonts w:cs="Arial"/>
                <w:color w:val="000000"/>
              </w:rPr>
              <w:t>This Plan will ensure that homelessness is prevented or relieved through active engagement with council and private sector services.</w:t>
            </w:r>
          </w:p>
          <w:p w14:paraId="21A0BE4B" w14:textId="77777777" w:rsidR="00133892" w:rsidRDefault="00133892" w:rsidP="00601900">
            <w:pPr>
              <w:spacing w:before="60" w:after="60"/>
              <w:ind w:right="227"/>
              <w:jc w:val="both"/>
              <w:rPr>
                <w:rFonts w:cs="Arial"/>
              </w:rPr>
            </w:pPr>
          </w:p>
          <w:p w14:paraId="4579FD6A" w14:textId="4F4C87CD" w:rsidR="00C65A77" w:rsidRPr="00FE058F" w:rsidRDefault="00C65A77" w:rsidP="00601900">
            <w:pPr>
              <w:spacing w:before="60" w:after="60"/>
              <w:ind w:right="227"/>
              <w:jc w:val="both"/>
              <w:rPr>
                <w:rFonts w:cs="Arial"/>
                <w:b/>
                <w:bCs/>
              </w:rPr>
            </w:pPr>
          </w:p>
        </w:tc>
      </w:tr>
      <w:bookmarkEnd w:id="0"/>
      <w:tr w:rsidR="0053519D" w:rsidRPr="00116EBE" w14:paraId="345D8855" w14:textId="77777777" w:rsidTr="007501BC">
        <w:tc>
          <w:tcPr>
            <w:tcW w:w="9060" w:type="dxa"/>
            <w:shd w:val="clear" w:color="auto" w:fill="FFFFFF" w:themeFill="background1"/>
          </w:tcPr>
          <w:p w14:paraId="44203DE4" w14:textId="16EF1697" w:rsidR="00E1645B" w:rsidRPr="001B75E1" w:rsidRDefault="005C02DF" w:rsidP="00D700F3">
            <w:pPr>
              <w:spacing w:before="60" w:after="60"/>
              <w:ind w:right="227"/>
              <w:jc w:val="both"/>
              <w:rPr>
                <w:rFonts w:cs="Arial"/>
                <w:color w:val="FF0000"/>
              </w:rPr>
            </w:pPr>
            <w:r w:rsidRPr="001B75E1">
              <w:rPr>
                <w:rFonts w:cs="Arial"/>
                <w:b/>
                <w:bCs/>
              </w:rPr>
              <w:t xml:space="preserve">What other activities will </w:t>
            </w:r>
            <w:r w:rsidR="00E1645B" w:rsidRPr="001B75E1">
              <w:rPr>
                <w:rFonts w:cs="Arial"/>
                <w:b/>
                <w:bCs/>
              </w:rPr>
              <w:t xml:space="preserve">I be responsible for? </w:t>
            </w:r>
            <w:r w:rsidR="007C0CEE">
              <w:rPr>
                <w:rFonts w:cs="Arial"/>
                <w:b/>
                <w:bCs/>
              </w:rPr>
              <w:t xml:space="preserve"> </w:t>
            </w:r>
          </w:p>
          <w:p w14:paraId="3D5E705A" w14:textId="77777777" w:rsidR="009368E8" w:rsidRDefault="009368E8" w:rsidP="009368E8">
            <w:pPr>
              <w:ind w:left="720"/>
              <w:rPr>
                <w:rFonts w:cs="Arial"/>
              </w:rPr>
            </w:pPr>
            <w:r>
              <w:rPr>
                <w:rFonts w:cs="Arial"/>
              </w:rPr>
              <w:t>To provide an effective, customer-friendly and efficient service to clients presenting with housing problems; to support them in keeping their current home or in accessing a new home in the public or private housing sector.</w:t>
            </w:r>
          </w:p>
          <w:p w14:paraId="505CA8A2" w14:textId="77777777" w:rsidR="00E1645B" w:rsidRDefault="00E1645B" w:rsidP="00D700F3">
            <w:pPr>
              <w:spacing w:before="60" w:after="60"/>
              <w:ind w:right="227"/>
              <w:jc w:val="both"/>
              <w:rPr>
                <w:rFonts w:cs="Arial"/>
              </w:rPr>
            </w:pPr>
          </w:p>
          <w:p w14:paraId="52878747" w14:textId="440D7BA0" w:rsidR="007C0CEE" w:rsidRPr="005C02DF" w:rsidRDefault="007C0CEE" w:rsidP="00D700F3">
            <w:pPr>
              <w:spacing w:before="60" w:after="60"/>
              <w:ind w:right="227"/>
              <w:jc w:val="both"/>
              <w:rPr>
                <w:rFonts w:cs="Arial"/>
              </w:rPr>
            </w:pPr>
          </w:p>
        </w:tc>
      </w:tr>
      <w:tr w:rsidR="0053519D" w:rsidRPr="00116EBE" w14:paraId="65CC63E2" w14:textId="77777777" w:rsidTr="007501BC">
        <w:tc>
          <w:tcPr>
            <w:tcW w:w="9060" w:type="dxa"/>
            <w:shd w:val="clear" w:color="auto" w:fill="FFFFFF" w:themeFill="background1"/>
          </w:tcPr>
          <w:p w14:paraId="6B2302CA" w14:textId="50049B59" w:rsidR="007107F0" w:rsidRPr="001B75E1" w:rsidRDefault="007107F0" w:rsidP="00D700F3">
            <w:pPr>
              <w:spacing w:before="60" w:after="60"/>
              <w:ind w:right="227"/>
              <w:jc w:val="both"/>
              <w:rPr>
                <w:rFonts w:cs="Arial"/>
                <w:color w:val="FF0000"/>
              </w:rPr>
            </w:pPr>
            <w:r w:rsidRPr="001B75E1">
              <w:rPr>
                <w:rFonts w:cs="Arial"/>
                <w:b/>
                <w:bCs/>
              </w:rPr>
              <w:t>Will I be managing others?</w:t>
            </w:r>
            <w:r w:rsidR="007C0CEE">
              <w:rPr>
                <w:rFonts w:cs="Arial"/>
                <w:b/>
                <w:bCs/>
              </w:rPr>
              <w:t xml:space="preserve"> </w:t>
            </w:r>
          </w:p>
          <w:p w14:paraId="106EA82B" w14:textId="3E39F1F8" w:rsidR="007107F0" w:rsidRDefault="009368E8" w:rsidP="00D700F3">
            <w:pPr>
              <w:spacing w:before="60" w:after="60"/>
              <w:ind w:right="227"/>
              <w:jc w:val="both"/>
              <w:rPr>
                <w:rFonts w:cs="Arial"/>
              </w:rPr>
            </w:pPr>
            <w:r>
              <w:rPr>
                <w:rFonts w:cs="Arial"/>
              </w:rPr>
              <w:t>N/A</w:t>
            </w:r>
          </w:p>
          <w:p w14:paraId="70D2E5F2" w14:textId="78EA6B33" w:rsidR="007C0CEE" w:rsidRPr="007107F0" w:rsidRDefault="007C0CEE" w:rsidP="00D700F3">
            <w:pPr>
              <w:spacing w:before="60" w:after="60"/>
              <w:ind w:right="227"/>
              <w:jc w:val="both"/>
              <w:rPr>
                <w:rFonts w:cs="Arial"/>
              </w:rPr>
            </w:pPr>
          </w:p>
        </w:tc>
      </w:tr>
      <w:tr w:rsidR="007C0CEE" w:rsidRPr="00116EBE" w14:paraId="5BA84C47" w14:textId="77777777" w:rsidTr="007501BC">
        <w:tc>
          <w:tcPr>
            <w:tcW w:w="9060" w:type="dxa"/>
            <w:shd w:val="clear" w:color="auto" w:fill="FFFFFF" w:themeFill="background1"/>
          </w:tcPr>
          <w:p w14:paraId="4899B7F3" w14:textId="526C495E" w:rsidR="007C0CEE" w:rsidRDefault="007C0CEE" w:rsidP="00D700F3">
            <w:pPr>
              <w:spacing w:before="60" w:after="60"/>
              <w:ind w:right="227"/>
              <w:jc w:val="both"/>
              <w:rPr>
                <w:rFonts w:cs="Arial"/>
                <w:b/>
                <w:bCs/>
              </w:rPr>
            </w:pPr>
            <w:r>
              <w:rPr>
                <w:rFonts w:cs="Arial"/>
                <w:b/>
                <w:bCs/>
              </w:rPr>
              <w:t xml:space="preserve">Who do I report into? </w:t>
            </w:r>
            <w:r w:rsidR="009368E8" w:rsidRPr="009368E8">
              <w:rPr>
                <w:rFonts w:cs="Arial"/>
              </w:rPr>
              <w:t>Housing Options Team Leader</w:t>
            </w:r>
          </w:p>
          <w:p w14:paraId="1A860BDE" w14:textId="77777777" w:rsidR="007C0CEE" w:rsidRDefault="007C0CEE" w:rsidP="00D700F3">
            <w:pPr>
              <w:spacing w:before="60" w:after="60"/>
              <w:ind w:right="227"/>
              <w:jc w:val="both"/>
              <w:rPr>
                <w:rFonts w:cs="Arial"/>
                <w:b/>
                <w:bCs/>
              </w:rPr>
            </w:pPr>
          </w:p>
          <w:p w14:paraId="3802BA0D" w14:textId="33C6BEAA" w:rsidR="007C0CEE" w:rsidRPr="001B75E1" w:rsidRDefault="007C0CEE" w:rsidP="00D700F3">
            <w:pPr>
              <w:spacing w:before="60" w:after="60"/>
              <w:ind w:right="227"/>
              <w:jc w:val="both"/>
              <w:rPr>
                <w:rFonts w:cs="Arial"/>
                <w:b/>
                <w:bCs/>
              </w:rPr>
            </w:pP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Pr="003C5619" w:rsidRDefault="00CC45BB" w:rsidP="00213229">
            <w:pPr>
              <w:spacing w:before="60" w:after="60"/>
              <w:ind w:right="227"/>
              <w:jc w:val="both"/>
              <w:rPr>
                <w:rFonts w:cs="Arial"/>
                <w:b/>
                <w:bCs/>
              </w:rPr>
            </w:pPr>
            <w:r w:rsidRPr="003C5619">
              <w:rPr>
                <w:rFonts w:cs="Arial"/>
                <w:b/>
                <w:bCs/>
              </w:rPr>
              <w:t>What are the development opportunities for me?</w:t>
            </w:r>
          </w:p>
          <w:p w14:paraId="76C80585" w14:textId="23820A88" w:rsidR="00D85BC2" w:rsidRPr="009368E8" w:rsidRDefault="00D85BC2" w:rsidP="00213229">
            <w:pPr>
              <w:spacing w:before="60" w:after="60"/>
              <w:ind w:right="227"/>
              <w:jc w:val="both"/>
              <w:rPr>
                <w:rFonts w:cs="Arial"/>
              </w:rPr>
            </w:pPr>
            <w:r w:rsidRPr="009368E8">
              <w:rPr>
                <w:rFonts w:cs="Arial"/>
              </w:rPr>
              <w:t>Skills development / specialisms</w:t>
            </w:r>
          </w:p>
          <w:p w14:paraId="111FC514" w14:textId="5372D0FB" w:rsidR="00CC45BB" w:rsidRPr="009368E8" w:rsidRDefault="003C5619" w:rsidP="00213229">
            <w:pPr>
              <w:spacing w:before="60" w:after="60"/>
              <w:ind w:right="227"/>
              <w:jc w:val="both"/>
              <w:rPr>
                <w:rFonts w:cs="Arial"/>
              </w:rPr>
            </w:pPr>
            <w:r w:rsidRPr="009368E8">
              <w:rPr>
                <w:rFonts w:cs="Arial"/>
              </w:rPr>
              <w:t>Professional qualifications</w:t>
            </w:r>
          </w:p>
          <w:p w14:paraId="25AF89A7" w14:textId="0C1FC3EF" w:rsidR="009707DB" w:rsidRPr="009368E8" w:rsidRDefault="009707DB" w:rsidP="00213229">
            <w:pPr>
              <w:spacing w:before="60" w:after="60"/>
              <w:ind w:right="227"/>
              <w:jc w:val="both"/>
              <w:rPr>
                <w:rFonts w:cs="Arial"/>
              </w:rPr>
            </w:pPr>
            <w:r w:rsidRPr="009368E8">
              <w:rPr>
                <w:rFonts w:cs="Arial"/>
              </w:rPr>
              <w:t>Management opportunities</w:t>
            </w:r>
          </w:p>
          <w:p w14:paraId="78FE6B99" w14:textId="19B12FA6" w:rsidR="00D85BC2" w:rsidRPr="009368E8" w:rsidRDefault="00D85BC2" w:rsidP="00213229">
            <w:pPr>
              <w:spacing w:before="60" w:after="60"/>
              <w:ind w:right="227"/>
              <w:jc w:val="both"/>
              <w:rPr>
                <w:rFonts w:cs="Arial"/>
              </w:rPr>
            </w:pPr>
            <w:r w:rsidRPr="009368E8">
              <w:rPr>
                <w:rFonts w:cs="Arial"/>
              </w:rPr>
              <w:t>Networking</w:t>
            </w:r>
          </w:p>
          <w:p w14:paraId="74CB24D0" w14:textId="7AA08D01" w:rsidR="00CC45BB" w:rsidRPr="00213229" w:rsidRDefault="00CC45BB" w:rsidP="00213229">
            <w:pPr>
              <w:spacing w:before="60" w:after="60"/>
              <w:ind w:right="227"/>
              <w:jc w:val="both"/>
              <w:rPr>
                <w:rFonts w:cs="Arial"/>
              </w:rPr>
            </w:pPr>
          </w:p>
        </w:tc>
      </w:tr>
      <w:tr w:rsidR="00CC45BB" w:rsidRPr="00116EBE" w14:paraId="77CBFE6C" w14:textId="77777777" w:rsidTr="00172840">
        <w:tc>
          <w:tcPr>
            <w:tcW w:w="9060" w:type="dxa"/>
            <w:shd w:val="clear" w:color="auto" w:fill="FFFFFF" w:themeFill="background1"/>
          </w:tcPr>
          <w:p w14:paraId="761DEB31" w14:textId="77777777" w:rsidR="00CC45BB" w:rsidRPr="009731EA" w:rsidRDefault="00CC45BB" w:rsidP="00213229">
            <w:pPr>
              <w:spacing w:before="60" w:after="60"/>
              <w:ind w:right="227"/>
              <w:jc w:val="both"/>
              <w:rPr>
                <w:rFonts w:cs="Arial"/>
                <w:b/>
                <w:bCs/>
              </w:rPr>
            </w:pPr>
            <w:r w:rsidRPr="009731EA">
              <w:rPr>
                <w:rFonts w:cs="Arial"/>
                <w:b/>
                <w:bCs/>
              </w:rPr>
              <w:lastRenderedPageBreak/>
              <w:t>How will I know I am being successful in this role?</w:t>
            </w:r>
          </w:p>
          <w:p w14:paraId="75683106" w14:textId="77777777" w:rsidR="00CC45BB" w:rsidRPr="00326B26" w:rsidRDefault="009368E8" w:rsidP="009368E8">
            <w:pPr>
              <w:spacing w:before="60" w:after="60"/>
              <w:ind w:right="227"/>
              <w:jc w:val="both"/>
              <w:rPr>
                <w:rFonts w:cs="Arial"/>
              </w:rPr>
            </w:pPr>
            <w:r w:rsidRPr="00326B26">
              <w:rPr>
                <w:rFonts w:cs="Arial"/>
              </w:rPr>
              <w:t>1 2 1s</w:t>
            </w:r>
          </w:p>
          <w:p w14:paraId="0F492B7F" w14:textId="77777777" w:rsidR="009368E8" w:rsidRPr="00326B26" w:rsidRDefault="009368E8" w:rsidP="009368E8">
            <w:pPr>
              <w:spacing w:before="60" w:after="60"/>
              <w:ind w:right="227"/>
              <w:jc w:val="both"/>
              <w:rPr>
                <w:rFonts w:cs="Arial"/>
              </w:rPr>
            </w:pPr>
            <w:r w:rsidRPr="00326B26">
              <w:rPr>
                <w:rFonts w:cs="Arial"/>
              </w:rPr>
              <w:t>Team Meetings</w:t>
            </w:r>
          </w:p>
          <w:p w14:paraId="16C47D87" w14:textId="77777777" w:rsidR="009368E8" w:rsidRPr="00326B26" w:rsidRDefault="009368E8" w:rsidP="009368E8">
            <w:pPr>
              <w:spacing w:before="60" w:after="60"/>
              <w:ind w:right="227"/>
              <w:jc w:val="both"/>
              <w:rPr>
                <w:rFonts w:cs="Arial"/>
              </w:rPr>
            </w:pPr>
            <w:r w:rsidRPr="00326B26">
              <w:rPr>
                <w:rFonts w:cs="Arial"/>
              </w:rPr>
              <w:t>Appraisals</w:t>
            </w:r>
          </w:p>
          <w:p w14:paraId="3D214C7F" w14:textId="77777777" w:rsidR="009368E8" w:rsidRPr="00326B26" w:rsidRDefault="009368E8" w:rsidP="009368E8">
            <w:pPr>
              <w:spacing w:before="60" w:after="60"/>
              <w:ind w:right="227"/>
              <w:jc w:val="both"/>
              <w:rPr>
                <w:rFonts w:cs="Arial"/>
              </w:rPr>
            </w:pPr>
            <w:r w:rsidRPr="00326B26">
              <w:rPr>
                <w:rFonts w:cs="Arial"/>
              </w:rPr>
              <w:t xml:space="preserve">Statistical </w:t>
            </w:r>
            <w:r w:rsidR="00326B26" w:rsidRPr="00326B26">
              <w:rPr>
                <w:rFonts w:cs="Arial"/>
              </w:rPr>
              <w:t>Performance</w:t>
            </w:r>
          </w:p>
          <w:p w14:paraId="2480AF26" w14:textId="602AF583" w:rsidR="00326B26" w:rsidRDefault="00326B26" w:rsidP="009368E8">
            <w:pPr>
              <w:spacing w:before="60" w:after="60"/>
              <w:ind w:right="227"/>
              <w:jc w:val="both"/>
              <w:rPr>
                <w:rFonts w:cs="Arial"/>
              </w:rPr>
            </w:pPr>
            <w:r w:rsidRPr="00326B26">
              <w:rPr>
                <w:rFonts w:cs="Arial"/>
              </w:rPr>
              <w:t>KPI’s HCLIC</w:t>
            </w: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3FE7C6F5" w14:textId="77777777" w:rsidR="0022460A" w:rsidRPr="00085559" w:rsidRDefault="0022460A" w:rsidP="00213229">
            <w:pPr>
              <w:spacing w:before="60" w:after="60"/>
              <w:ind w:right="227"/>
              <w:jc w:val="both"/>
              <w:rPr>
                <w:rFonts w:cs="Arial"/>
                <w:b/>
                <w:bCs/>
              </w:rPr>
            </w:pPr>
          </w:p>
          <w:p w14:paraId="594A1213" w14:textId="4AFA2126" w:rsidR="0022460A" w:rsidRPr="009424D6" w:rsidRDefault="0022460A" w:rsidP="00213229">
            <w:pPr>
              <w:spacing w:before="60" w:after="60"/>
              <w:ind w:right="227"/>
              <w:jc w:val="both"/>
              <w:rPr>
                <w:rFonts w:cs="Arial"/>
              </w:rPr>
            </w:pPr>
            <w:r w:rsidRPr="009424D6">
              <w:rPr>
                <w:rFonts w:cs="Arial"/>
              </w:rPr>
              <w:t>Housing and public / welfare law updates. Annual</w:t>
            </w:r>
            <w:r w:rsidR="00085559" w:rsidRPr="009424D6">
              <w:rPr>
                <w:rFonts w:cs="Arial"/>
              </w:rPr>
              <w:t xml:space="preserve"> updates</w:t>
            </w:r>
          </w:p>
          <w:p w14:paraId="11E8C908" w14:textId="123C85D4" w:rsidR="0034690A" w:rsidRPr="00085559" w:rsidRDefault="002F6CBE" w:rsidP="00213229">
            <w:pPr>
              <w:spacing w:before="60" w:after="60"/>
              <w:ind w:right="227"/>
              <w:jc w:val="both"/>
              <w:rPr>
                <w:rFonts w:cs="Arial"/>
              </w:rPr>
            </w:pPr>
            <w:r w:rsidRPr="00085559">
              <w:rPr>
                <w:rFonts w:cs="Arial"/>
              </w:rPr>
              <w:t xml:space="preserve">Mandatory / compulsory training i.e. GDPR, WDC learning pool modules, </w:t>
            </w:r>
            <w:r w:rsidR="009424D6">
              <w:rPr>
                <w:rFonts w:cs="Arial"/>
              </w:rPr>
              <w:t>other public sector requirements such as Equality Act, Human Rights Act etc.</w:t>
            </w:r>
          </w:p>
          <w:p w14:paraId="1FD22ED4" w14:textId="1762426D" w:rsidR="002F6CBE" w:rsidRPr="002F6CBE" w:rsidRDefault="002F6CBE" w:rsidP="00213229">
            <w:pPr>
              <w:spacing w:before="60" w:after="60"/>
              <w:ind w:right="227"/>
              <w:jc w:val="both"/>
              <w:rPr>
                <w:rFonts w:cs="Arial"/>
                <w:color w:val="FF0000"/>
              </w:rPr>
            </w:pPr>
          </w:p>
          <w:p w14:paraId="1084EBB5" w14:textId="20A7BB3B" w:rsidR="0034690A" w:rsidRPr="009731EA" w:rsidRDefault="0034690A" w:rsidP="00213229">
            <w:pPr>
              <w:spacing w:before="60" w:after="60"/>
              <w:ind w:right="227"/>
              <w:jc w:val="both"/>
              <w:rPr>
                <w:rFonts w:cs="Arial"/>
                <w:b/>
                <w:bCs/>
              </w:rPr>
            </w:pPr>
          </w:p>
        </w:tc>
      </w:tr>
    </w:tbl>
    <w:p w14:paraId="4A422665" w14:textId="77777777" w:rsidR="00444A8A" w:rsidRDefault="00444A8A" w:rsidP="00444A8A"/>
    <w:p w14:paraId="26ED21DF" w14:textId="4F1712E6" w:rsidR="00444A8A" w:rsidRDefault="00444A8A" w:rsidP="00CA6BE5">
      <w:pPr>
        <w:jc w:val="both"/>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br w:type="page"/>
            </w:r>
            <w:r>
              <w:rPr>
                <w:rFonts w:eastAsia="Arial" w:cs="Arial"/>
                <w:b/>
                <w:color w:val="F2F2F2"/>
              </w:rPr>
              <w:t>Additional Role Requirements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 xml:space="preserve">Standards </w:t>
            </w:r>
            <w:proofErr w:type="gramStart"/>
            <w:r>
              <w:rPr>
                <w:color w:val="FFFFFF"/>
              </w:rPr>
              <w:t>of  Conduct</w:t>
            </w:r>
            <w:proofErr w:type="gramEnd"/>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You will be required to comply with the Council’s Standing Orders and Standing Financial Instructions, and at all times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w:t>
            </w:r>
            <w:r>
              <w:lastRenderedPageBreak/>
              <w:t xml:space="preserve">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lastRenderedPageBreak/>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particular relevance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742F0D" w14:textId="77777777" w:rsidR="0059054A" w:rsidRPr="00E660A7" w:rsidRDefault="0059054A" w:rsidP="008E7D2A">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433DD692" w14:textId="77777777" w:rsidR="0059054A" w:rsidRDefault="0059054A" w:rsidP="008E7D2A">
            <w:pPr>
              <w:spacing w:line="259" w:lineRule="auto"/>
              <w:ind w:right="106"/>
            </w:pP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59054A">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bottom"/>
          </w:tcPr>
          <w:p w14:paraId="3663753F" w14:textId="77777777" w:rsidR="0059054A" w:rsidRDefault="0059054A" w:rsidP="008E7D2A">
            <w:pPr>
              <w:spacing w:line="259" w:lineRule="auto"/>
              <w:ind w:right="49"/>
              <w:jc w:val="center"/>
            </w:pPr>
            <w:r>
              <w:rPr>
                <w:color w:val="FFFFFF"/>
              </w:rPr>
              <w:t>Freedom of</w:t>
            </w:r>
          </w:p>
          <w:p w14:paraId="2095C536" w14:textId="77777777" w:rsidR="0059054A" w:rsidRDefault="0059054A" w:rsidP="008E7D2A">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lastRenderedPageBreak/>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 xml:space="preserve">To take responsibility and comply with the Council’s Equal Opportunities policy (which makes a commitment to promote equal opportunities </w:t>
            </w:r>
            <w:proofErr w:type="gramStart"/>
            <w:r w:rsidRPr="00E660A7">
              <w:rPr>
                <w:rFonts w:cs="Arial"/>
              </w:rPr>
              <w:t>and  equality</w:t>
            </w:r>
            <w:proofErr w:type="gramEnd"/>
            <w:r w:rsidRPr="00E660A7">
              <w:rPr>
                <w:rFonts w:cs="Arial"/>
              </w:rPr>
              <w:t xml:space="preserve">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2047C">
          <w:footerReference w:type="default" r:id="rId9"/>
          <w:pgSz w:w="11906" w:h="16838"/>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E10681" w:rsidRPr="00116EBE" w14:paraId="1FD63E99" w14:textId="44E1CB61" w:rsidTr="000D463F">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E10681" w:rsidRPr="00444A8A" w:rsidRDefault="00E10681" w:rsidP="00E10681">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233560ED" w14:textId="77777777" w:rsidR="00E10681" w:rsidRDefault="000D463F" w:rsidP="00E10681">
            <w:pPr>
              <w:shd w:val="clear" w:color="auto" w:fill="00B050"/>
              <w:spacing w:before="120" w:after="120"/>
              <w:jc w:val="both"/>
              <w:rPr>
                <w:rFonts w:cs="Arial"/>
                <w:b/>
                <w:bCs/>
                <w:sz w:val="20"/>
                <w:szCs w:val="20"/>
              </w:rPr>
            </w:pPr>
            <w:r>
              <w:rPr>
                <w:rFonts w:cs="Arial"/>
                <w:b/>
                <w:bCs/>
                <w:sz w:val="20"/>
                <w:szCs w:val="20"/>
              </w:rPr>
              <w:t>ASSESSED BY</w:t>
            </w:r>
          </w:p>
          <w:p w14:paraId="254420E1" w14:textId="6F646DFA" w:rsidR="000D463F" w:rsidRPr="00444A8A" w:rsidRDefault="000D463F" w:rsidP="00E10681">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E10681" w:rsidRPr="00116EBE" w14:paraId="057D952C" w14:textId="1CD882C0" w:rsidTr="000D463F">
        <w:tc>
          <w:tcPr>
            <w:tcW w:w="2079" w:type="dxa"/>
            <w:vMerge w:val="restart"/>
            <w:tcBorders>
              <w:top w:val="single" w:sz="6" w:space="0" w:color="auto"/>
              <w:left w:val="single" w:sz="6" w:space="0" w:color="auto"/>
              <w:right w:val="single" w:sz="6" w:space="0" w:color="auto"/>
            </w:tcBorders>
          </w:tcPr>
          <w:p w14:paraId="792C35AA" w14:textId="31DB14F8" w:rsidR="00E10681" w:rsidRPr="00116EBE" w:rsidRDefault="00E10681" w:rsidP="00E10681">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tcPr>
          <w:p w14:paraId="6DAC7BE0" w14:textId="4E17DAFC" w:rsidR="00E10681" w:rsidRPr="00D700F3" w:rsidRDefault="00DE11DC" w:rsidP="00E10681">
            <w:pPr>
              <w:widowControl w:val="0"/>
              <w:tabs>
                <w:tab w:val="left" w:pos="567"/>
                <w:tab w:val="left" w:pos="1134"/>
                <w:tab w:val="left" w:pos="2552"/>
              </w:tabs>
              <w:spacing w:after="120"/>
              <w:rPr>
                <w:rFonts w:cs="Arial"/>
                <w:snapToGrid w:val="0"/>
                <w:color w:val="0D0D0D" w:themeColor="text1" w:themeTint="F2"/>
              </w:rPr>
            </w:pPr>
            <w:r>
              <w:rPr>
                <w:rFonts w:cs="Arial"/>
                <w:color w:val="000000"/>
                <w:szCs w:val="22"/>
                <w:lang w:val="en-US"/>
              </w:rPr>
              <w:t>Considerable work experience in housing options, homelessness, housing support, social care, tenancy sustainment or other equivalent experience</w:t>
            </w:r>
          </w:p>
        </w:tc>
        <w:tc>
          <w:tcPr>
            <w:tcW w:w="1418" w:type="dxa"/>
            <w:tcBorders>
              <w:top w:val="single" w:sz="6" w:space="0" w:color="auto"/>
              <w:left w:val="single" w:sz="6" w:space="0" w:color="auto"/>
              <w:bottom w:val="single" w:sz="6" w:space="0" w:color="auto"/>
              <w:right w:val="single" w:sz="6" w:space="0" w:color="auto"/>
            </w:tcBorders>
            <w:vAlign w:val="center"/>
          </w:tcPr>
          <w:p w14:paraId="0D192E86" w14:textId="057975C9" w:rsidR="00E10681" w:rsidRPr="006F11C5" w:rsidRDefault="00E10681" w:rsidP="00203E79">
            <w:pPr>
              <w:pStyle w:val="ListParagraph"/>
              <w:numPr>
                <w:ilvl w:val="0"/>
                <w:numId w:val="18"/>
              </w:numP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1A1A7EC2" w14:textId="77777777" w:rsidR="00E10681" w:rsidRPr="00116EBE" w:rsidRDefault="00E10681" w:rsidP="00E10681">
            <w:pPr>
              <w:rPr>
                <w:rFonts w:cs="Arial"/>
                <w:sz w:val="10"/>
                <w:szCs w:val="10"/>
              </w:rPr>
            </w:pPr>
          </w:p>
        </w:tc>
        <w:tc>
          <w:tcPr>
            <w:tcW w:w="3402" w:type="dxa"/>
            <w:tcBorders>
              <w:top w:val="single" w:sz="6" w:space="0" w:color="auto"/>
              <w:left w:val="single" w:sz="6" w:space="0" w:color="auto"/>
              <w:bottom w:val="single" w:sz="6" w:space="0" w:color="auto"/>
              <w:right w:val="single" w:sz="6" w:space="0" w:color="auto"/>
            </w:tcBorders>
            <w:vAlign w:val="center"/>
          </w:tcPr>
          <w:p w14:paraId="391CB71F" w14:textId="77777777" w:rsidR="00E10681" w:rsidRPr="000D463F" w:rsidRDefault="00E10681" w:rsidP="000D463F">
            <w:pPr>
              <w:rPr>
                <w:rFonts w:cs="Arial"/>
                <w:sz w:val="22"/>
                <w:szCs w:val="22"/>
              </w:rPr>
            </w:pPr>
          </w:p>
        </w:tc>
      </w:tr>
      <w:tr w:rsidR="00E10681" w:rsidRPr="00116EBE" w14:paraId="120A533D" w14:textId="7C105646" w:rsidTr="000D463F">
        <w:tc>
          <w:tcPr>
            <w:tcW w:w="2079" w:type="dxa"/>
            <w:vMerge/>
            <w:tcBorders>
              <w:left w:val="single" w:sz="6" w:space="0" w:color="auto"/>
              <w:right w:val="single" w:sz="6" w:space="0" w:color="auto"/>
            </w:tcBorders>
          </w:tcPr>
          <w:p w14:paraId="3DD07168" w14:textId="77777777" w:rsidR="00E10681" w:rsidRPr="00116EBE" w:rsidRDefault="00E10681" w:rsidP="00E1068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CB2BFC0" w14:textId="6945F78F" w:rsidR="00E10681" w:rsidRDefault="00FA6545" w:rsidP="00E10681">
            <w:pPr>
              <w:widowControl w:val="0"/>
              <w:tabs>
                <w:tab w:val="left" w:pos="1134"/>
              </w:tabs>
              <w:rPr>
                <w:rFonts w:cs="Arial"/>
                <w:snapToGrid w:val="0"/>
              </w:rPr>
            </w:pPr>
            <w:r>
              <w:rPr>
                <w:rFonts w:cs="Arial"/>
                <w:szCs w:val="22"/>
              </w:rPr>
              <w:t>Knowledge of relevant landlord and tenant legislation including security of tenure and private tenants’ rights</w:t>
            </w:r>
          </w:p>
          <w:p w14:paraId="26EA374A" w14:textId="5B60D406" w:rsidR="00E10681" w:rsidRPr="00F258F0" w:rsidRDefault="00E10681" w:rsidP="00E10681">
            <w:pPr>
              <w:widowControl w:val="0"/>
              <w:tabs>
                <w:tab w:val="left" w:pos="1134"/>
              </w:tabs>
              <w:rPr>
                <w:rFonts w:cs="Arial"/>
                <w:snapToGrid w:val="0"/>
              </w:rPr>
            </w:pPr>
          </w:p>
        </w:tc>
        <w:tc>
          <w:tcPr>
            <w:tcW w:w="1418" w:type="dxa"/>
            <w:tcBorders>
              <w:top w:val="single" w:sz="6" w:space="0" w:color="auto"/>
              <w:left w:val="single" w:sz="6" w:space="0" w:color="auto"/>
              <w:bottom w:val="single" w:sz="6" w:space="0" w:color="auto"/>
              <w:right w:val="single" w:sz="6" w:space="0" w:color="auto"/>
            </w:tcBorders>
            <w:vAlign w:val="center"/>
          </w:tcPr>
          <w:p w14:paraId="0257E6DB" w14:textId="77777777" w:rsidR="00E10681" w:rsidRPr="00203E79" w:rsidRDefault="00E10681" w:rsidP="00203E79">
            <w:pPr>
              <w:pStyle w:val="ListParagraph"/>
              <w:numPr>
                <w:ilvl w:val="0"/>
                <w:numId w:val="18"/>
              </w:num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0140124A" w14:textId="1FA856F2" w:rsidR="00E10681" w:rsidRPr="00116EBE" w:rsidRDefault="00E10681" w:rsidP="00E10681">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9CAB63D" w14:textId="77777777" w:rsidR="00E10681" w:rsidRPr="000D463F" w:rsidRDefault="00E10681" w:rsidP="000D463F">
            <w:pPr>
              <w:rPr>
                <w:rFonts w:cs="Arial"/>
                <w:sz w:val="22"/>
                <w:szCs w:val="22"/>
              </w:rPr>
            </w:pPr>
          </w:p>
        </w:tc>
      </w:tr>
      <w:tr w:rsidR="00E10681" w:rsidRPr="00116EBE" w14:paraId="276633C3" w14:textId="790F510D" w:rsidTr="000D463F">
        <w:tc>
          <w:tcPr>
            <w:tcW w:w="2079" w:type="dxa"/>
            <w:tcBorders>
              <w:left w:val="single" w:sz="6" w:space="0" w:color="auto"/>
              <w:right w:val="single" w:sz="6" w:space="0" w:color="auto"/>
            </w:tcBorders>
          </w:tcPr>
          <w:p w14:paraId="31281808" w14:textId="77777777" w:rsidR="00E10681" w:rsidRPr="00116EBE" w:rsidRDefault="00E10681" w:rsidP="00E1068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A2EBF8E" w14:textId="2E3E84C3" w:rsidR="00E10681" w:rsidRPr="00116EBE" w:rsidRDefault="00575BBA" w:rsidP="00E10681">
            <w:pPr>
              <w:widowControl w:val="0"/>
              <w:tabs>
                <w:tab w:val="left" w:pos="567"/>
                <w:tab w:val="num" w:pos="600"/>
                <w:tab w:val="left" w:pos="1134"/>
                <w:tab w:val="left" w:pos="2552"/>
              </w:tabs>
              <w:spacing w:before="120" w:after="120"/>
            </w:pPr>
            <w:r>
              <w:rPr>
                <w:rFonts w:cs="Arial"/>
                <w:szCs w:val="22"/>
              </w:rPr>
              <w:t>A good knowledge of services, welfare benefits and local support available to applicants experiencing housing problems</w:t>
            </w:r>
          </w:p>
        </w:tc>
        <w:tc>
          <w:tcPr>
            <w:tcW w:w="1418" w:type="dxa"/>
            <w:tcBorders>
              <w:top w:val="single" w:sz="6" w:space="0" w:color="auto"/>
              <w:left w:val="single" w:sz="6" w:space="0" w:color="auto"/>
              <w:bottom w:val="single" w:sz="6" w:space="0" w:color="auto"/>
              <w:right w:val="single" w:sz="6" w:space="0" w:color="auto"/>
            </w:tcBorders>
            <w:vAlign w:val="center"/>
          </w:tcPr>
          <w:p w14:paraId="1E779609" w14:textId="181C3ADD" w:rsidR="00E10681" w:rsidRPr="00203E79" w:rsidRDefault="00E10681" w:rsidP="00203E79">
            <w:pPr>
              <w:pStyle w:val="ListParagraph"/>
              <w:numPr>
                <w:ilvl w:val="0"/>
                <w:numId w:val="18"/>
              </w:num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6CC39CE0" w14:textId="77777777" w:rsidR="00E10681" w:rsidRPr="00116EBE" w:rsidRDefault="00E10681" w:rsidP="00E10681">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5BA56997" w14:textId="77777777" w:rsidR="00E10681" w:rsidRPr="000D463F" w:rsidRDefault="00E10681" w:rsidP="000D463F">
            <w:pPr>
              <w:rPr>
                <w:rFonts w:cs="Arial"/>
                <w:sz w:val="22"/>
                <w:szCs w:val="22"/>
              </w:rPr>
            </w:pPr>
          </w:p>
        </w:tc>
      </w:tr>
      <w:tr w:rsidR="00E10681" w:rsidRPr="00116EBE" w14:paraId="4E7F6A47" w14:textId="2924AD8A" w:rsidTr="000D463F">
        <w:tc>
          <w:tcPr>
            <w:tcW w:w="2079" w:type="dxa"/>
            <w:tcBorders>
              <w:left w:val="single" w:sz="6" w:space="0" w:color="auto"/>
              <w:right w:val="single" w:sz="6" w:space="0" w:color="auto"/>
            </w:tcBorders>
          </w:tcPr>
          <w:p w14:paraId="16DC9962" w14:textId="77777777" w:rsidR="00E10681" w:rsidRPr="00116EBE" w:rsidRDefault="00E10681" w:rsidP="00E1068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7F4FA67" w14:textId="12A8364E" w:rsidR="00E10681" w:rsidRPr="00C27859" w:rsidRDefault="008D123C" w:rsidP="00C27859">
            <w:pPr>
              <w:widowControl w:val="0"/>
              <w:tabs>
                <w:tab w:val="left" w:pos="567"/>
                <w:tab w:val="left" w:pos="2552"/>
              </w:tabs>
              <w:jc w:val="both"/>
              <w:rPr>
                <w:rFonts w:cs="Arial"/>
                <w:snapToGrid w:val="0"/>
                <w:lang w:val="en-US"/>
              </w:rPr>
            </w:pPr>
            <w:r>
              <w:rPr>
                <w:rFonts w:cs="Arial"/>
                <w:snapToGrid w:val="0"/>
                <w:lang w:val="en-US"/>
              </w:rPr>
              <w:t xml:space="preserve">Must hold a current full driving </w:t>
            </w:r>
            <w:proofErr w:type="spellStart"/>
            <w:r w:rsidR="00C27859">
              <w:rPr>
                <w:rFonts w:cs="Arial"/>
                <w:snapToGrid w:val="0"/>
                <w:lang w:val="en-US"/>
              </w:rPr>
              <w:t>licence</w:t>
            </w:r>
            <w:proofErr w:type="spellEnd"/>
            <w:r w:rsidR="009424D6">
              <w:rPr>
                <w:rFonts w:cs="Arial"/>
                <w:snapToGrid w:val="0"/>
                <w:lang w:val="en-US"/>
              </w:rPr>
              <w:t xml:space="preserve"> </w:t>
            </w:r>
            <w:r>
              <w:rPr>
                <w:rFonts w:cs="Arial"/>
                <w:snapToGrid w:val="0"/>
                <w:lang w:val="en-US"/>
              </w:rPr>
              <w:t>unless alternative arrangements are available.</w:t>
            </w:r>
          </w:p>
        </w:tc>
        <w:tc>
          <w:tcPr>
            <w:tcW w:w="1418" w:type="dxa"/>
            <w:tcBorders>
              <w:top w:val="single" w:sz="6" w:space="0" w:color="auto"/>
              <w:left w:val="single" w:sz="6" w:space="0" w:color="auto"/>
              <w:bottom w:val="single" w:sz="6" w:space="0" w:color="auto"/>
              <w:right w:val="single" w:sz="6" w:space="0" w:color="auto"/>
            </w:tcBorders>
            <w:vAlign w:val="center"/>
          </w:tcPr>
          <w:p w14:paraId="7C3704ED" w14:textId="0E0AE590" w:rsidR="00E10681" w:rsidRPr="00203E79" w:rsidRDefault="00E10681" w:rsidP="00203E79">
            <w:pPr>
              <w:pStyle w:val="ListParagraph"/>
              <w:numPr>
                <w:ilvl w:val="0"/>
                <w:numId w:val="18"/>
              </w:num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65C4EB2F" w14:textId="77777777" w:rsidR="00E10681" w:rsidRPr="00116EBE" w:rsidRDefault="00E10681" w:rsidP="00E10681">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F224086" w14:textId="77777777" w:rsidR="00E10681" w:rsidRPr="000D463F" w:rsidRDefault="00E10681" w:rsidP="000D463F">
            <w:pPr>
              <w:rPr>
                <w:rFonts w:cs="Arial"/>
                <w:sz w:val="22"/>
                <w:szCs w:val="22"/>
              </w:rPr>
            </w:pPr>
          </w:p>
        </w:tc>
      </w:tr>
      <w:tr w:rsidR="00E10681" w:rsidRPr="00116EBE" w14:paraId="5E9F7CBC" w14:textId="32C5E08A" w:rsidTr="000D463F">
        <w:tc>
          <w:tcPr>
            <w:tcW w:w="2079" w:type="dxa"/>
            <w:tcBorders>
              <w:left w:val="single" w:sz="6" w:space="0" w:color="auto"/>
              <w:bottom w:val="single" w:sz="6" w:space="0" w:color="auto"/>
              <w:right w:val="single" w:sz="6" w:space="0" w:color="auto"/>
            </w:tcBorders>
          </w:tcPr>
          <w:p w14:paraId="091CF778" w14:textId="77777777" w:rsidR="00E10681" w:rsidRPr="00116EBE" w:rsidRDefault="00E10681" w:rsidP="00E10681">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74E699F" w14:textId="2E5B48A3" w:rsidR="00E10681" w:rsidRPr="00116EBE" w:rsidRDefault="00847E61" w:rsidP="00E10681">
            <w:pPr>
              <w:widowControl w:val="0"/>
              <w:tabs>
                <w:tab w:val="left" w:pos="567"/>
                <w:tab w:val="left" w:pos="1134"/>
                <w:tab w:val="left" w:pos="2552"/>
              </w:tabs>
              <w:spacing w:before="120" w:after="120"/>
            </w:pPr>
            <w:r>
              <w:rPr>
                <w:rFonts w:cs="Arial"/>
                <w:lang w:val="en-US"/>
              </w:rPr>
              <w:t>Confident and assertive and unafraid to challenge expectation, without being confrontational.</w:t>
            </w:r>
          </w:p>
        </w:tc>
        <w:tc>
          <w:tcPr>
            <w:tcW w:w="1418" w:type="dxa"/>
            <w:tcBorders>
              <w:top w:val="single" w:sz="6" w:space="0" w:color="auto"/>
              <w:left w:val="single" w:sz="6" w:space="0" w:color="auto"/>
              <w:bottom w:val="single" w:sz="6" w:space="0" w:color="auto"/>
              <w:right w:val="single" w:sz="6" w:space="0" w:color="auto"/>
            </w:tcBorders>
            <w:vAlign w:val="center"/>
          </w:tcPr>
          <w:p w14:paraId="5636C6FC" w14:textId="53157E68" w:rsidR="00E10681" w:rsidRPr="00203E79" w:rsidRDefault="00E10681" w:rsidP="00203E79">
            <w:pPr>
              <w:pStyle w:val="ListParagraph"/>
              <w:numPr>
                <w:ilvl w:val="0"/>
                <w:numId w:val="18"/>
              </w:num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0E7CA3AA" w14:textId="77777777" w:rsidR="00E10681" w:rsidRPr="00116EBE" w:rsidRDefault="00E10681" w:rsidP="00E10681">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C43CC19" w14:textId="77777777" w:rsidR="00E10681" w:rsidRPr="000D463F" w:rsidRDefault="00E10681" w:rsidP="000D463F">
            <w:pPr>
              <w:rPr>
                <w:rFonts w:cs="Arial"/>
                <w:sz w:val="22"/>
                <w:szCs w:val="22"/>
              </w:rPr>
            </w:pPr>
          </w:p>
        </w:tc>
      </w:tr>
      <w:tr w:rsidR="00E10681" w:rsidRPr="00116EBE" w14:paraId="7D4B3F56" w14:textId="14177FDB" w:rsidTr="000D463F">
        <w:tc>
          <w:tcPr>
            <w:tcW w:w="2079" w:type="dxa"/>
            <w:vMerge w:val="restart"/>
            <w:tcBorders>
              <w:top w:val="single" w:sz="6" w:space="0" w:color="auto"/>
              <w:left w:val="single" w:sz="6" w:space="0" w:color="auto"/>
              <w:right w:val="single" w:sz="6" w:space="0" w:color="auto"/>
            </w:tcBorders>
          </w:tcPr>
          <w:p w14:paraId="0798D4F6" w14:textId="7A267D97" w:rsidR="00E10681" w:rsidRPr="00116EBE" w:rsidRDefault="00E10681" w:rsidP="00E10681">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tcPr>
          <w:p w14:paraId="0D2E8D47" w14:textId="1986FAA9" w:rsidR="00E10681" w:rsidRPr="00116EBE" w:rsidRDefault="00485C24" w:rsidP="00E10681">
            <w:pPr>
              <w:widowControl w:val="0"/>
              <w:tabs>
                <w:tab w:val="left" w:pos="567"/>
                <w:tab w:val="left" w:pos="1134"/>
                <w:tab w:val="left" w:pos="2552"/>
              </w:tabs>
              <w:spacing w:before="120" w:after="120"/>
              <w:rPr>
                <w:rFonts w:cs="Arial"/>
                <w:snapToGrid w:val="0"/>
              </w:rPr>
            </w:pPr>
            <w:r>
              <w:rPr>
                <w:rFonts w:cs="Arial"/>
                <w:snapToGrid w:val="0"/>
                <w:lang w:val="en-US"/>
              </w:rPr>
              <w:t xml:space="preserve">Must be able to work both as an individual and as part of a team. </w:t>
            </w:r>
            <w:r w:rsidR="00D5349B">
              <w:rPr>
                <w:rFonts w:cs="Arial"/>
                <w:bCs/>
                <w:color w:val="000000"/>
                <w:szCs w:val="22"/>
                <w:lang w:val="en-US"/>
              </w:rPr>
              <w:t xml:space="preserve"> Effective record keeping, IT competent and able to use computer software effectively</w:t>
            </w:r>
            <w:r w:rsidR="00C522A4">
              <w:rPr>
                <w:rFonts w:cs="Arial"/>
                <w:bCs/>
                <w:color w:val="000000"/>
                <w:szCs w:val="22"/>
                <w:lang w:val="en-US"/>
              </w:rPr>
              <w:t xml:space="preserve">. </w:t>
            </w:r>
            <w:r w:rsidR="00FA7189">
              <w:rPr>
                <w:rFonts w:cs="Arial"/>
                <w:snapToGrid w:val="0"/>
                <w:lang w:val="en-US"/>
              </w:rPr>
              <w:t xml:space="preserve"> Ability to </w:t>
            </w:r>
            <w:proofErr w:type="spellStart"/>
            <w:r w:rsidR="00FA7189">
              <w:rPr>
                <w:rFonts w:cs="Arial"/>
                <w:snapToGrid w:val="0"/>
                <w:lang w:val="en-US"/>
              </w:rPr>
              <w:t>prioritise</w:t>
            </w:r>
            <w:proofErr w:type="spellEnd"/>
            <w:r w:rsidR="00FA7189">
              <w:rPr>
                <w:rFonts w:cs="Arial"/>
                <w:snapToGrid w:val="0"/>
                <w:lang w:val="en-US"/>
              </w:rPr>
              <w:t xml:space="preserve"> workload and support team members where necessary, in a busy environment.</w:t>
            </w:r>
          </w:p>
        </w:tc>
        <w:tc>
          <w:tcPr>
            <w:tcW w:w="1418" w:type="dxa"/>
            <w:tcBorders>
              <w:top w:val="single" w:sz="6" w:space="0" w:color="auto"/>
              <w:left w:val="single" w:sz="6" w:space="0" w:color="auto"/>
              <w:bottom w:val="single" w:sz="6" w:space="0" w:color="auto"/>
              <w:right w:val="single" w:sz="6" w:space="0" w:color="auto"/>
            </w:tcBorders>
            <w:vAlign w:val="center"/>
          </w:tcPr>
          <w:p w14:paraId="4DEEA134" w14:textId="4B348B46" w:rsidR="00E10681" w:rsidRPr="00116EBE" w:rsidRDefault="00E10681" w:rsidP="00203E79">
            <w:pPr>
              <w:pStyle w:val="ListParagraph"/>
              <w:numPr>
                <w:ilvl w:val="0"/>
                <w:numId w:val="18"/>
              </w:numPr>
              <w:spacing w:before="120" w:after="120"/>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56AB1B82" w14:textId="77777777" w:rsidR="00E10681" w:rsidRPr="00116EBE" w:rsidRDefault="00E10681" w:rsidP="00E10681">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4909E5E" w14:textId="77777777" w:rsidR="00E10681" w:rsidRPr="000D463F" w:rsidRDefault="00E10681" w:rsidP="000D463F">
            <w:pPr>
              <w:spacing w:before="120" w:after="120"/>
              <w:rPr>
                <w:rFonts w:cs="Arial"/>
                <w:sz w:val="22"/>
                <w:szCs w:val="22"/>
              </w:rPr>
            </w:pPr>
          </w:p>
        </w:tc>
      </w:tr>
      <w:tr w:rsidR="00E10681" w:rsidRPr="00116EBE" w14:paraId="56F69718" w14:textId="123E219F" w:rsidTr="000D463F">
        <w:tc>
          <w:tcPr>
            <w:tcW w:w="2079" w:type="dxa"/>
            <w:vMerge/>
            <w:tcBorders>
              <w:left w:val="single" w:sz="6" w:space="0" w:color="auto"/>
              <w:right w:val="single" w:sz="6" w:space="0" w:color="auto"/>
            </w:tcBorders>
          </w:tcPr>
          <w:p w14:paraId="4AC9C2C6" w14:textId="77777777" w:rsidR="00E10681" w:rsidRPr="00116EBE" w:rsidRDefault="00E10681" w:rsidP="00E10681">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941FB93" w14:textId="57E457A6" w:rsidR="00E10681" w:rsidRPr="00116EBE" w:rsidRDefault="0032212F" w:rsidP="00E10681">
            <w:pPr>
              <w:spacing w:before="120" w:after="120"/>
              <w:ind w:right="-2"/>
              <w:rPr>
                <w:rFonts w:cs="Arial"/>
                <w:snapToGrid w:val="0"/>
              </w:rPr>
            </w:pPr>
            <w:r>
              <w:rPr>
                <w:rFonts w:cs="Arial"/>
                <w:snapToGrid w:val="0"/>
                <w:lang w:val="en-US"/>
              </w:rPr>
              <w:t xml:space="preserve">Excellent communication and interpersonal skills </w:t>
            </w:r>
            <w:proofErr w:type="gramStart"/>
            <w:r>
              <w:rPr>
                <w:rFonts w:cs="Arial"/>
                <w:snapToGrid w:val="0"/>
                <w:lang w:val="en-US"/>
              </w:rPr>
              <w:t>including</w:t>
            </w:r>
            <w:proofErr w:type="gramEnd"/>
            <w:r>
              <w:rPr>
                <w:rFonts w:cs="Arial"/>
                <w:snapToGrid w:val="0"/>
                <w:lang w:val="en-US"/>
              </w:rPr>
              <w:t xml:space="preserve"> the ability to deal objectively but sympathetically with customers in high stress </w:t>
            </w:r>
            <w:r>
              <w:rPr>
                <w:rFonts w:cs="Arial"/>
                <w:snapToGrid w:val="0"/>
                <w:lang w:val="en-US"/>
              </w:rPr>
              <w:lastRenderedPageBreak/>
              <w:t xml:space="preserve">situations while assessing their situations </w:t>
            </w:r>
            <w:proofErr w:type="gramStart"/>
            <w:r>
              <w:rPr>
                <w:rFonts w:cs="Arial"/>
                <w:snapToGrid w:val="0"/>
                <w:lang w:val="en-US"/>
              </w:rPr>
              <w:t>with regard to</w:t>
            </w:r>
            <w:proofErr w:type="gramEnd"/>
            <w:r>
              <w:rPr>
                <w:rFonts w:cs="Arial"/>
                <w:snapToGrid w:val="0"/>
                <w:lang w:val="en-US"/>
              </w:rPr>
              <w:t xml:space="preserve"> national legislation.</w:t>
            </w:r>
          </w:p>
        </w:tc>
        <w:tc>
          <w:tcPr>
            <w:tcW w:w="1418" w:type="dxa"/>
            <w:tcBorders>
              <w:top w:val="single" w:sz="6" w:space="0" w:color="auto"/>
              <w:left w:val="single" w:sz="6" w:space="0" w:color="auto"/>
              <w:bottom w:val="single" w:sz="6" w:space="0" w:color="auto"/>
              <w:right w:val="single" w:sz="6" w:space="0" w:color="auto"/>
            </w:tcBorders>
            <w:vAlign w:val="center"/>
          </w:tcPr>
          <w:p w14:paraId="335D017B" w14:textId="39CFE6C1" w:rsidR="00E10681" w:rsidRPr="00116EBE" w:rsidRDefault="00E10681" w:rsidP="00203E79">
            <w:pPr>
              <w:pStyle w:val="ListParagraph"/>
              <w:numPr>
                <w:ilvl w:val="0"/>
                <w:numId w:val="18"/>
              </w:numPr>
              <w:spacing w:before="120" w:after="120"/>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120EA5AD" w14:textId="77777777" w:rsidR="00E10681" w:rsidRPr="00116EBE" w:rsidRDefault="00E10681" w:rsidP="00E10681">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749C9671" w14:textId="77777777" w:rsidR="00E10681" w:rsidRPr="000D463F" w:rsidRDefault="00E10681" w:rsidP="000D463F">
            <w:pPr>
              <w:rPr>
                <w:rFonts w:cs="Arial"/>
                <w:sz w:val="22"/>
                <w:szCs w:val="22"/>
              </w:rPr>
            </w:pPr>
          </w:p>
        </w:tc>
      </w:tr>
      <w:tr w:rsidR="00E10681" w:rsidRPr="00116EBE" w14:paraId="128592A5" w14:textId="604579EF" w:rsidTr="000D463F">
        <w:tc>
          <w:tcPr>
            <w:tcW w:w="2079" w:type="dxa"/>
            <w:vMerge/>
            <w:tcBorders>
              <w:left w:val="single" w:sz="6" w:space="0" w:color="auto"/>
              <w:bottom w:val="single" w:sz="4" w:space="0" w:color="auto"/>
              <w:right w:val="single" w:sz="6" w:space="0" w:color="auto"/>
            </w:tcBorders>
          </w:tcPr>
          <w:p w14:paraId="4D0F44DE" w14:textId="77777777" w:rsidR="00E10681" w:rsidRPr="00116EBE" w:rsidRDefault="00E10681" w:rsidP="00E10681">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7BC7D1E2" w14:textId="77777777" w:rsidR="009D2253" w:rsidRPr="009D2253" w:rsidRDefault="009D2253" w:rsidP="009D2253">
            <w:pPr>
              <w:rPr>
                <w:rFonts w:cs="Arial"/>
                <w:snapToGrid w:val="0"/>
              </w:rPr>
            </w:pPr>
            <w:r w:rsidRPr="009D2253">
              <w:rPr>
                <w:rFonts w:cs="Arial"/>
                <w:snapToGrid w:val="0"/>
              </w:rPr>
              <w:t>An ability to understand, interpret and convey complex information, including legal information and processes.</w:t>
            </w:r>
          </w:p>
          <w:p w14:paraId="5DD1C79F" w14:textId="0793F515" w:rsidR="00E10681" w:rsidRPr="00116EBE" w:rsidRDefault="00E10681" w:rsidP="00E10681">
            <w:pPr>
              <w:widowControl w:val="0"/>
              <w:tabs>
                <w:tab w:val="left" w:pos="567"/>
                <w:tab w:val="left" w:pos="1134"/>
                <w:tab w:val="left" w:pos="2552"/>
              </w:tabs>
              <w:spacing w:before="120" w:after="120"/>
              <w:rPr>
                <w:rFonts w:cs="Arial"/>
                <w:snapToGrid w:val="0"/>
              </w:rPr>
            </w:pPr>
          </w:p>
        </w:tc>
        <w:tc>
          <w:tcPr>
            <w:tcW w:w="1418" w:type="dxa"/>
            <w:tcBorders>
              <w:top w:val="single" w:sz="6" w:space="0" w:color="auto"/>
              <w:left w:val="single" w:sz="6" w:space="0" w:color="auto"/>
              <w:bottom w:val="single" w:sz="4" w:space="0" w:color="auto"/>
              <w:right w:val="single" w:sz="6" w:space="0" w:color="auto"/>
            </w:tcBorders>
            <w:vAlign w:val="center"/>
          </w:tcPr>
          <w:p w14:paraId="53E409D5" w14:textId="686A977E" w:rsidR="00E10681" w:rsidRPr="00116EBE" w:rsidRDefault="00E10681" w:rsidP="00203E79">
            <w:pPr>
              <w:pStyle w:val="ListParagraph"/>
              <w:numPr>
                <w:ilvl w:val="0"/>
                <w:numId w:val="18"/>
              </w:numPr>
              <w:spacing w:before="120" w:after="120"/>
              <w:jc w:val="center"/>
            </w:pPr>
          </w:p>
        </w:tc>
        <w:tc>
          <w:tcPr>
            <w:tcW w:w="1559" w:type="dxa"/>
            <w:tcBorders>
              <w:top w:val="single" w:sz="6" w:space="0" w:color="auto"/>
              <w:left w:val="single" w:sz="6" w:space="0" w:color="auto"/>
              <w:bottom w:val="single" w:sz="4" w:space="0" w:color="auto"/>
              <w:right w:val="single" w:sz="6" w:space="0" w:color="auto"/>
            </w:tcBorders>
            <w:vAlign w:val="center"/>
          </w:tcPr>
          <w:p w14:paraId="6E5A1FDF" w14:textId="77777777" w:rsidR="00E10681" w:rsidRPr="00116EBE" w:rsidRDefault="00E10681" w:rsidP="00E10681">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6463A80E" w14:textId="77777777" w:rsidR="00E10681" w:rsidRPr="000D463F" w:rsidRDefault="00E10681" w:rsidP="000D463F">
            <w:pPr>
              <w:rPr>
                <w:rFonts w:cs="Arial"/>
                <w:sz w:val="22"/>
                <w:szCs w:val="22"/>
              </w:rPr>
            </w:pPr>
          </w:p>
        </w:tc>
      </w:tr>
      <w:tr w:rsidR="00E10681" w:rsidRPr="00116EBE" w14:paraId="03114BBA" w14:textId="235D40A2" w:rsidTr="000D463F">
        <w:tc>
          <w:tcPr>
            <w:tcW w:w="2079" w:type="dxa"/>
            <w:vMerge w:val="restart"/>
            <w:tcBorders>
              <w:top w:val="single" w:sz="4" w:space="0" w:color="auto"/>
              <w:left w:val="single" w:sz="4" w:space="0" w:color="auto"/>
              <w:bottom w:val="single" w:sz="4" w:space="0" w:color="auto"/>
              <w:right w:val="single" w:sz="4" w:space="0" w:color="auto"/>
            </w:tcBorders>
          </w:tcPr>
          <w:p w14:paraId="11193DD9" w14:textId="31AD11C7" w:rsidR="00E10681" w:rsidRDefault="00E10681" w:rsidP="00E10681">
            <w:pPr>
              <w:rPr>
                <w:rFonts w:cs="Arial"/>
                <w:b/>
                <w:bCs/>
              </w:rPr>
            </w:pPr>
            <w:r>
              <w:rPr>
                <w:rFonts w:cs="Arial"/>
                <w:b/>
                <w:bCs/>
              </w:rPr>
              <w:t>Q</w:t>
            </w:r>
            <w:r w:rsidRPr="00116EBE">
              <w:rPr>
                <w:rFonts w:cs="Arial"/>
                <w:b/>
                <w:bCs/>
              </w:rPr>
              <w:t>ualifications</w:t>
            </w:r>
            <w:r>
              <w:rPr>
                <w:rFonts w:cs="Arial"/>
                <w:b/>
                <w:bCs/>
              </w:rPr>
              <w:t>/</w:t>
            </w:r>
          </w:p>
          <w:p w14:paraId="10665DF0" w14:textId="77777777" w:rsidR="00E10681" w:rsidRDefault="00E10681" w:rsidP="00E10681">
            <w:pPr>
              <w:rPr>
                <w:rFonts w:cs="Arial"/>
                <w:b/>
                <w:bCs/>
              </w:rPr>
            </w:pPr>
            <w:r>
              <w:rPr>
                <w:rFonts w:cs="Arial"/>
                <w:b/>
                <w:bCs/>
              </w:rPr>
              <w:t>Education</w:t>
            </w:r>
          </w:p>
          <w:p w14:paraId="29577552" w14:textId="578FC5F3" w:rsidR="00E10681" w:rsidRPr="00116EBE" w:rsidRDefault="00E10681" w:rsidP="00E10681">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1B3C992B" w14:textId="71367ABD" w:rsidR="00E10681" w:rsidRPr="00116EBE" w:rsidRDefault="006F11C5" w:rsidP="00E10681">
            <w:pPr>
              <w:widowControl w:val="0"/>
              <w:tabs>
                <w:tab w:val="left" w:pos="33"/>
                <w:tab w:val="left" w:pos="2552"/>
              </w:tabs>
              <w:spacing w:before="120" w:after="120"/>
              <w:rPr>
                <w:rFonts w:cs="Arial"/>
                <w:snapToGrid w:val="0"/>
              </w:rPr>
            </w:pPr>
            <w:r>
              <w:rPr>
                <w:rFonts w:cs="Arial"/>
                <w:szCs w:val="22"/>
              </w:rPr>
              <w:t>5 GCSEs grade C or above including Maths and English (or equivalent</w:t>
            </w:r>
            <w:r w:rsidR="009424D6">
              <w:rPr>
                <w:rFonts w:cs="Arial"/>
                <w:szCs w:val="22"/>
              </w:rPr>
              <w:t xml:space="preserve"> qualification or experience)</w:t>
            </w:r>
          </w:p>
        </w:tc>
        <w:tc>
          <w:tcPr>
            <w:tcW w:w="1418" w:type="dxa"/>
            <w:tcBorders>
              <w:top w:val="single" w:sz="4" w:space="0" w:color="auto"/>
              <w:left w:val="single" w:sz="4" w:space="0" w:color="auto"/>
              <w:bottom w:val="single" w:sz="4" w:space="0" w:color="auto"/>
              <w:right w:val="single" w:sz="4" w:space="0" w:color="auto"/>
            </w:tcBorders>
            <w:vAlign w:val="center"/>
          </w:tcPr>
          <w:p w14:paraId="7ECCB9F2" w14:textId="5C42A1B3" w:rsidR="00E10681" w:rsidRPr="00116EBE" w:rsidRDefault="00E10681" w:rsidP="00203E79">
            <w:pPr>
              <w:pStyle w:val="ListParagraph"/>
              <w:numPr>
                <w:ilvl w:val="0"/>
                <w:numId w:val="18"/>
              </w:num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F066304" w14:textId="77777777" w:rsidR="00E10681" w:rsidRPr="00116EBE" w:rsidRDefault="00E10681" w:rsidP="00E10681">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4B8547D0" w14:textId="77777777" w:rsidR="00E10681" w:rsidRPr="000D463F" w:rsidRDefault="00E10681" w:rsidP="000D463F">
            <w:pPr>
              <w:spacing w:before="120" w:after="120"/>
              <w:rPr>
                <w:rFonts w:cs="Arial"/>
                <w:sz w:val="22"/>
                <w:szCs w:val="22"/>
              </w:rPr>
            </w:pPr>
          </w:p>
        </w:tc>
      </w:tr>
      <w:tr w:rsidR="00E10681" w:rsidRPr="00116EBE" w14:paraId="23FACB0C" w14:textId="3A3D63BD" w:rsidTr="000D463F">
        <w:tc>
          <w:tcPr>
            <w:tcW w:w="2079" w:type="dxa"/>
            <w:vMerge/>
            <w:tcBorders>
              <w:top w:val="single" w:sz="4" w:space="0" w:color="auto"/>
              <w:left w:val="single" w:sz="4" w:space="0" w:color="auto"/>
              <w:bottom w:val="single" w:sz="4" w:space="0" w:color="auto"/>
              <w:right w:val="single" w:sz="4" w:space="0" w:color="auto"/>
            </w:tcBorders>
          </w:tcPr>
          <w:p w14:paraId="4992C5AF" w14:textId="77777777" w:rsidR="00E10681" w:rsidRPr="00116EBE" w:rsidRDefault="00E10681" w:rsidP="00E10681">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1EB69D60" w14:textId="46318E29" w:rsidR="00E10681" w:rsidRPr="00116EBE" w:rsidRDefault="00E10681" w:rsidP="00E10681">
            <w:pPr>
              <w:widowControl w:val="0"/>
              <w:tabs>
                <w:tab w:val="left" w:pos="33"/>
                <w:tab w:val="left" w:pos="2552"/>
              </w:tabs>
              <w:spacing w:before="120" w:after="120"/>
              <w:rPr>
                <w:rFonts w:cs="Arial"/>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5EC02B56" w14:textId="03424392" w:rsidR="00E10681" w:rsidRPr="00116EBE" w:rsidRDefault="00E10681" w:rsidP="00E10681">
            <w:p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D4B7CAE" w14:textId="77777777" w:rsidR="00E10681" w:rsidRPr="00116EBE" w:rsidRDefault="00E10681" w:rsidP="00E10681">
            <w:pPr>
              <w:spacing w:before="120" w:after="120"/>
              <w:jc w:val="center"/>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602827B2" w14:textId="77777777" w:rsidR="00E10681" w:rsidRPr="000D463F" w:rsidRDefault="00E10681" w:rsidP="000D463F">
            <w:pPr>
              <w:spacing w:before="120" w:after="120"/>
              <w:rPr>
                <w:rFonts w:cs="Arial"/>
                <w:sz w:val="22"/>
                <w:szCs w:val="22"/>
              </w:rPr>
            </w:pPr>
          </w:p>
        </w:tc>
      </w:tr>
      <w:tr w:rsidR="00E10681" w:rsidRPr="00116EBE" w14:paraId="6A315939" w14:textId="0DE37889" w:rsidTr="000D463F">
        <w:tc>
          <w:tcPr>
            <w:tcW w:w="2079" w:type="dxa"/>
            <w:vMerge/>
            <w:tcBorders>
              <w:top w:val="single" w:sz="4" w:space="0" w:color="auto"/>
              <w:left w:val="single" w:sz="4" w:space="0" w:color="auto"/>
              <w:bottom w:val="single" w:sz="4" w:space="0" w:color="auto"/>
              <w:right w:val="single" w:sz="4" w:space="0" w:color="auto"/>
            </w:tcBorders>
          </w:tcPr>
          <w:p w14:paraId="674C48CC" w14:textId="77777777" w:rsidR="00E10681" w:rsidRPr="00116EBE" w:rsidRDefault="00E10681" w:rsidP="00E10681">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7491B836" w14:textId="76279ACD" w:rsidR="00E10681" w:rsidRPr="00116EBE" w:rsidRDefault="00E10681" w:rsidP="00E10681">
            <w:pPr>
              <w:widowControl w:val="0"/>
              <w:tabs>
                <w:tab w:val="left" w:pos="33"/>
                <w:tab w:val="left" w:pos="2552"/>
              </w:tabs>
              <w:spacing w:before="120" w:after="120"/>
              <w:rPr>
                <w:rFonts w:cs="Arial"/>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1554E45C" w14:textId="2026EEF7" w:rsidR="00E10681" w:rsidRPr="00116EBE" w:rsidRDefault="00E10681" w:rsidP="00E10681">
            <w:p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4C950E5" w14:textId="77777777" w:rsidR="00E10681" w:rsidRPr="00116EBE" w:rsidRDefault="00E10681" w:rsidP="00E10681">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6A93C6BB" w14:textId="77777777" w:rsidR="00E10681" w:rsidRPr="000D463F" w:rsidRDefault="00E10681" w:rsidP="000D463F">
            <w:pPr>
              <w:spacing w:before="120" w:after="120"/>
              <w:rPr>
                <w:rFonts w:cs="Arial"/>
                <w:sz w:val="22"/>
                <w:szCs w:val="22"/>
              </w:rPr>
            </w:pPr>
          </w:p>
        </w:tc>
      </w:tr>
      <w:tr w:rsidR="00E10681" w:rsidRPr="00116EBE" w14:paraId="0568F5D2" w14:textId="523E41F8" w:rsidTr="000D463F">
        <w:tc>
          <w:tcPr>
            <w:tcW w:w="2079" w:type="dxa"/>
            <w:vMerge/>
            <w:tcBorders>
              <w:top w:val="single" w:sz="4" w:space="0" w:color="auto"/>
              <w:left w:val="single" w:sz="4" w:space="0" w:color="auto"/>
              <w:bottom w:val="single" w:sz="4" w:space="0" w:color="auto"/>
              <w:right w:val="single" w:sz="4" w:space="0" w:color="auto"/>
            </w:tcBorders>
          </w:tcPr>
          <w:p w14:paraId="0238DF9D" w14:textId="77777777" w:rsidR="00E10681" w:rsidRPr="00116EBE" w:rsidRDefault="00E10681" w:rsidP="00E10681">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5AE73FD5" w14:textId="5C474A27" w:rsidR="00E10681" w:rsidRPr="00116EBE" w:rsidRDefault="00E10681" w:rsidP="00E10681">
            <w:pPr>
              <w:tabs>
                <w:tab w:val="left" w:pos="33"/>
              </w:tabs>
              <w:spacing w:before="120" w:after="120"/>
              <w:rPr>
                <w:rFonts w:cs="Arial"/>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7488B841" w14:textId="10AA32AE" w:rsidR="00E10681" w:rsidRPr="00116EBE" w:rsidRDefault="00E10681" w:rsidP="00E10681">
            <w:p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C117958" w14:textId="77777777" w:rsidR="00E10681" w:rsidRPr="00116EBE" w:rsidRDefault="00E10681" w:rsidP="00E10681">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39759F83" w14:textId="77777777" w:rsidR="00E10681" w:rsidRPr="000D463F" w:rsidRDefault="00E10681" w:rsidP="000D463F">
            <w:pPr>
              <w:spacing w:before="120" w:after="120"/>
              <w:rPr>
                <w:rFonts w:cs="Arial"/>
                <w:sz w:val="22"/>
                <w:szCs w:val="22"/>
              </w:rPr>
            </w:pPr>
          </w:p>
        </w:tc>
      </w:tr>
      <w:tr w:rsidR="00E10681" w:rsidRPr="00116EBE" w14:paraId="53674B3C" w14:textId="75872490" w:rsidTr="000D463F">
        <w:tc>
          <w:tcPr>
            <w:tcW w:w="2079" w:type="dxa"/>
            <w:vMerge/>
            <w:tcBorders>
              <w:left w:val="single" w:sz="6" w:space="0" w:color="auto"/>
              <w:bottom w:val="single" w:sz="6" w:space="0" w:color="auto"/>
              <w:right w:val="single" w:sz="6" w:space="0" w:color="auto"/>
            </w:tcBorders>
          </w:tcPr>
          <w:p w14:paraId="3B056C03" w14:textId="77777777" w:rsidR="00E10681" w:rsidRPr="00116EBE" w:rsidRDefault="00E10681" w:rsidP="00E10681">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A0D784B" w14:textId="7043E0BC" w:rsidR="00E10681" w:rsidRPr="00116EBE" w:rsidRDefault="00E10681" w:rsidP="00E10681">
            <w:pPr>
              <w:widowControl w:val="0"/>
              <w:tabs>
                <w:tab w:val="left" w:pos="33"/>
                <w:tab w:val="left" w:pos="2552"/>
              </w:tabs>
              <w:spacing w:before="120" w:after="120"/>
              <w:ind w:left="34"/>
              <w:rPr>
                <w:rFonts w:cs="Arial"/>
                <w:snapToGrid w:val="0"/>
              </w:rPr>
            </w:pPr>
          </w:p>
        </w:tc>
        <w:tc>
          <w:tcPr>
            <w:tcW w:w="1418" w:type="dxa"/>
            <w:tcBorders>
              <w:top w:val="single" w:sz="6" w:space="0" w:color="auto"/>
              <w:left w:val="single" w:sz="6" w:space="0" w:color="auto"/>
              <w:bottom w:val="single" w:sz="6" w:space="0" w:color="auto"/>
              <w:right w:val="single" w:sz="6" w:space="0" w:color="auto"/>
            </w:tcBorders>
            <w:vAlign w:val="center"/>
          </w:tcPr>
          <w:p w14:paraId="51CCC0D8" w14:textId="18C62B57" w:rsidR="00E10681" w:rsidRPr="00116EBE" w:rsidRDefault="00E10681" w:rsidP="00E10681">
            <w:pPr>
              <w:spacing w:before="120" w:after="120"/>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370EF204" w14:textId="77777777" w:rsidR="00E10681" w:rsidRPr="00116EBE" w:rsidRDefault="00E10681" w:rsidP="00E10681">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5C929E8C" w14:textId="77777777" w:rsidR="00E10681" w:rsidRPr="000D463F" w:rsidRDefault="00E10681" w:rsidP="000D463F">
            <w:pPr>
              <w:rPr>
                <w:rFonts w:cs="Arial"/>
                <w:sz w:val="22"/>
                <w:szCs w:val="22"/>
              </w:rPr>
            </w:pPr>
          </w:p>
        </w:tc>
      </w:tr>
    </w:tbl>
    <w:p w14:paraId="3CBE1716" w14:textId="77777777" w:rsidR="00B64EA9" w:rsidRPr="00116EBE" w:rsidRDefault="00B64EA9"/>
    <w:p w14:paraId="63887C1C" w14:textId="77777777" w:rsidR="00B64EA9" w:rsidRPr="00116EBE" w:rsidRDefault="00B64EA9"/>
    <w:p w14:paraId="4444466F" w14:textId="77777777" w:rsidR="002A0FD2" w:rsidRDefault="002A0FD2"/>
    <w:p w14:paraId="10FE58FC" w14:textId="77777777" w:rsidR="002A0FD2" w:rsidRDefault="002A0FD2"/>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708EC" w14:textId="77777777" w:rsidR="00BA2CA4" w:rsidRDefault="00BA2CA4" w:rsidP="00DF7564">
      <w:r>
        <w:separator/>
      </w:r>
    </w:p>
  </w:endnote>
  <w:endnote w:type="continuationSeparator" w:id="0">
    <w:p w14:paraId="71ABDDF0" w14:textId="77777777" w:rsidR="00BA2CA4" w:rsidRDefault="00BA2CA4"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06332" w14:textId="77777777" w:rsidR="00BA2CA4" w:rsidRDefault="00BA2CA4" w:rsidP="00DF7564">
      <w:r>
        <w:separator/>
      </w:r>
    </w:p>
  </w:footnote>
  <w:footnote w:type="continuationSeparator" w:id="0">
    <w:p w14:paraId="342218E0" w14:textId="77777777" w:rsidR="00BA2CA4" w:rsidRDefault="00BA2CA4"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974F9"/>
    <w:multiLevelType w:val="hybridMultilevel"/>
    <w:tmpl w:val="97DC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4"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833B7"/>
    <w:multiLevelType w:val="hybridMultilevel"/>
    <w:tmpl w:val="1988BB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3A836E8"/>
    <w:multiLevelType w:val="hybridMultilevel"/>
    <w:tmpl w:val="CFBACE66"/>
    <w:lvl w:ilvl="0" w:tplc="892616D4">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11"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16"/>
  </w:num>
  <w:num w:numId="2" w16cid:durableId="862791178">
    <w:abstractNumId w:val="11"/>
  </w:num>
  <w:num w:numId="3" w16cid:durableId="615645476">
    <w:abstractNumId w:val="15"/>
  </w:num>
  <w:num w:numId="4" w16cid:durableId="1972055603">
    <w:abstractNumId w:val="12"/>
  </w:num>
  <w:num w:numId="5" w16cid:durableId="660041565">
    <w:abstractNumId w:val="14"/>
  </w:num>
  <w:num w:numId="6" w16cid:durableId="624241309">
    <w:abstractNumId w:val="1"/>
  </w:num>
  <w:num w:numId="7" w16cid:durableId="503784769">
    <w:abstractNumId w:val="9"/>
  </w:num>
  <w:num w:numId="8" w16cid:durableId="1119832268">
    <w:abstractNumId w:val="4"/>
  </w:num>
  <w:num w:numId="9" w16cid:durableId="1258711635">
    <w:abstractNumId w:val="7"/>
  </w:num>
  <w:num w:numId="10" w16cid:durableId="426852981">
    <w:abstractNumId w:val="3"/>
  </w:num>
  <w:num w:numId="11" w16cid:durableId="816335580">
    <w:abstractNumId w:val="6"/>
  </w:num>
  <w:num w:numId="12" w16cid:durableId="1263341529">
    <w:abstractNumId w:val="10"/>
  </w:num>
  <w:num w:numId="13" w16cid:durableId="545608400">
    <w:abstractNumId w:val="13"/>
  </w:num>
  <w:num w:numId="14" w16cid:durableId="722145704">
    <w:abstractNumId w:val="0"/>
  </w:num>
  <w:num w:numId="15" w16cid:durableId="1685128854">
    <w:abstractNumId w:val="8"/>
  </w:num>
  <w:num w:numId="16" w16cid:durableId="908229133">
    <w:abstractNumId w:val="8"/>
  </w:num>
  <w:num w:numId="17" w16cid:durableId="1928537577">
    <w:abstractNumId w:val="2"/>
  </w:num>
  <w:num w:numId="18" w16cid:durableId="82531674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21DB4"/>
    <w:rsid w:val="00032C24"/>
    <w:rsid w:val="00056074"/>
    <w:rsid w:val="00085559"/>
    <w:rsid w:val="000A3A4E"/>
    <w:rsid w:val="000A4905"/>
    <w:rsid w:val="000A5078"/>
    <w:rsid w:val="000A7AA2"/>
    <w:rsid w:val="000B772F"/>
    <w:rsid w:val="000D2379"/>
    <w:rsid w:val="000D463F"/>
    <w:rsid w:val="000E2FBA"/>
    <w:rsid w:val="000F3796"/>
    <w:rsid w:val="00102355"/>
    <w:rsid w:val="001070B9"/>
    <w:rsid w:val="00114B5E"/>
    <w:rsid w:val="00116EBE"/>
    <w:rsid w:val="00120D01"/>
    <w:rsid w:val="00133892"/>
    <w:rsid w:val="001519CC"/>
    <w:rsid w:val="00157204"/>
    <w:rsid w:val="00160C4B"/>
    <w:rsid w:val="00164032"/>
    <w:rsid w:val="00164FD7"/>
    <w:rsid w:val="00165A1F"/>
    <w:rsid w:val="00166F5A"/>
    <w:rsid w:val="00172840"/>
    <w:rsid w:val="00176D5C"/>
    <w:rsid w:val="001908DE"/>
    <w:rsid w:val="001A701D"/>
    <w:rsid w:val="001B75E1"/>
    <w:rsid w:val="001C1E40"/>
    <w:rsid w:val="001E4ADC"/>
    <w:rsid w:val="002007F0"/>
    <w:rsid w:val="00203E79"/>
    <w:rsid w:val="00204444"/>
    <w:rsid w:val="00205AEE"/>
    <w:rsid w:val="00213229"/>
    <w:rsid w:val="0022460A"/>
    <w:rsid w:val="00244F9F"/>
    <w:rsid w:val="00252FFD"/>
    <w:rsid w:val="002621F3"/>
    <w:rsid w:val="00264D08"/>
    <w:rsid w:val="00276CD2"/>
    <w:rsid w:val="00292533"/>
    <w:rsid w:val="002A0FD2"/>
    <w:rsid w:val="002A1FB4"/>
    <w:rsid w:val="002C4913"/>
    <w:rsid w:val="002E2047"/>
    <w:rsid w:val="002E6FCD"/>
    <w:rsid w:val="002F6CBE"/>
    <w:rsid w:val="0030205F"/>
    <w:rsid w:val="0032212F"/>
    <w:rsid w:val="00326B26"/>
    <w:rsid w:val="0034690A"/>
    <w:rsid w:val="0035459F"/>
    <w:rsid w:val="003558C3"/>
    <w:rsid w:val="00362460"/>
    <w:rsid w:val="003A5C3D"/>
    <w:rsid w:val="003A67B1"/>
    <w:rsid w:val="003C5619"/>
    <w:rsid w:val="003D07EE"/>
    <w:rsid w:val="003D2E8A"/>
    <w:rsid w:val="003D4474"/>
    <w:rsid w:val="003E115B"/>
    <w:rsid w:val="003E3F63"/>
    <w:rsid w:val="003F06BD"/>
    <w:rsid w:val="003F40C0"/>
    <w:rsid w:val="00400909"/>
    <w:rsid w:val="00402937"/>
    <w:rsid w:val="00424AFC"/>
    <w:rsid w:val="00425028"/>
    <w:rsid w:val="00432048"/>
    <w:rsid w:val="004341F6"/>
    <w:rsid w:val="00437431"/>
    <w:rsid w:val="00444A8A"/>
    <w:rsid w:val="0045035D"/>
    <w:rsid w:val="00461BB7"/>
    <w:rsid w:val="00465BEC"/>
    <w:rsid w:val="00477B07"/>
    <w:rsid w:val="00485C24"/>
    <w:rsid w:val="004A3504"/>
    <w:rsid w:val="004B100E"/>
    <w:rsid w:val="004C0979"/>
    <w:rsid w:val="004C340F"/>
    <w:rsid w:val="004F0B96"/>
    <w:rsid w:val="004F5FE4"/>
    <w:rsid w:val="004F7138"/>
    <w:rsid w:val="00503AA6"/>
    <w:rsid w:val="00503E1E"/>
    <w:rsid w:val="00523518"/>
    <w:rsid w:val="00531350"/>
    <w:rsid w:val="0053519D"/>
    <w:rsid w:val="0056686F"/>
    <w:rsid w:val="00571D82"/>
    <w:rsid w:val="00575BBA"/>
    <w:rsid w:val="0059054A"/>
    <w:rsid w:val="005C02DF"/>
    <w:rsid w:val="005D01D9"/>
    <w:rsid w:val="005D1456"/>
    <w:rsid w:val="005D77C8"/>
    <w:rsid w:val="005E3D6B"/>
    <w:rsid w:val="005F1B70"/>
    <w:rsid w:val="005F2949"/>
    <w:rsid w:val="005F5401"/>
    <w:rsid w:val="005F573D"/>
    <w:rsid w:val="00601900"/>
    <w:rsid w:val="0060621C"/>
    <w:rsid w:val="00611975"/>
    <w:rsid w:val="00614F12"/>
    <w:rsid w:val="006650AC"/>
    <w:rsid w:val="006652F2"/>
    <w:rsid w:val="00667278"/>
    <w:rsid w:val="00683FD7"/>
    <w:rsid w:val="00686D54"/>
    <w:rsid w:val="006C3A48"/>
    <w:rsid w:val="006C77CB"/>
    <w:rsid w:val="006D2A6B"/>
    <w:rsid w:val="006D6393"/>
    <w:rsid w:val="006F11C5"/>
    <w:rsid w:val="006F3097"/>
    <w:rsid w:val="007107F0"/>
    <w:rsid w:val="0072047C"/>
    <w:rsid w:val="00720DC7"/>
    <w:rsid w:val="007218F9"/>
    <w:rsid w:val="007228B9"/>
    <w:rsid w:val="007234DE"/>
    <w:rsid w:val="00725067"/>
    <w:rsid w:val="00744B6C"/>
    <w:rsid w:val="007501BC"/>
    <w:rsid w:val="00776702"/>
    <w:rsid w:val="007839A0"/>
    <w:rsid w:val="00785C20"/>
    <w:rsid w:val="007B170E"/>
    <w:rsid w:val="007B4532"/>
    <w:rsid w:val="007B61CB"/>
    <w:rsid w:val="007C0CEE"/>
    <w:rsid w:val="007C47BF"/>
    <w:rsid w:val="007D35A4"/>
    <w:rsid w:val="007D77D5"/>
    <w:rsid w:val="007E1D1D"/>
    <w:rsid w:val="007E6AC5"/>
    <w:rsid w:val="007F0C1F"/>
    <w:rsid w:val="00800311"/>
    <w:rsid w:val="00811096"/>
    <w:rsid w:val="008152DA"/>
    <w:rsid w:val="00834166"/>
    <w:rsid w:val="008378F4"/>
    <w:rsid w:val="00847E61"/>
    <w:rsid w:val="00860412"/>
    <w:rsid w:val="00877861"/>
    <w:rsid w:val="008927A7"/>
    <w:rsid w:val="00896C06"/>
    <w:rsid w:val="008A4DA7"/>
    <w:rsid w:val="008B22E3"/>
    <w:rsid w:val="008B4F36"/>
    <w:rsid w:val="008D123C"/>
    <w:rsid w:val="008D2106"/>
    <w:rsid w:val="008D29AE"/>
    <w:rsid w:val="008D4EEE"/>
    <w:rsid w:val="008E4B8C"/>
    <w:rsid w:val="008E7561"/>
    <w:rsid w:val="008F0DF1"/>
    <w:rsid w:val="008F67B6"/>
    <w:rsid w:val="0091126A"/>
    <w:rsid w:val="009368E8"/>
    <w:rsid w:val="0094121E"/>
    <w:rsid w:val="009424D6"/>
    <w:rsid w:val="0095264A"/>
    <w:rsid w:val="0095289C"/>
    <w:rsid w:val="00962794"/>
    <w:rsid w:val="00963046"/>
    <w:rsid w:val="009707DB"/>
    <w:rsid w:val="0097094A"/>
    <w:rsid w:val="009731EA"/>
    <w:rsid w:val="00986E01"/>
    <w:rsid w:val="009956AC"/>
    <w:rsid w:val="009B1F20"/>
    <w:rsid w:val="009B5C5B"/>
    <w:rsid w:val="009D2253"/>
    <w:rsid w:val="009D5E46"/>
    <w:rsid w:val="009F5F43"/>
    <w:rsid w:val="009F6E27"/>
    <w:rsid w:val="00A05A96"/>
    <w:rsid w:val="00A4146A"/>
    <w:rsid w:val="00A41CF3"/>
    <w:rsid w:val="00A46337"/>
    <w:rsid w:val="00A747F8"/>
    <w:rsid w:val="00A85601"/>
    <w:rsid w:val="00A912D9"/>
    <w:rsid w:val="00A939AA"/>
    <w:rsid w:val="00A958D2"/>
    <w:rsid w:val="00AB0616"/>
    <w:rsid w:val="00AC2399"/>
    <w:rsid w:val="00B05BFA"/>
    <w:rsid w:val="00B107BA"/>
    <w:rsid w:val="00B126CC"/>
    <w:rsid w:val="00B17A1D"/>
    <w:rsid w:val="00B17C3C"/>
    <w:rsid w:val="00B2100B"/>
    <w:rsid w:val="00B26A71"/>
    <w:rsid w:val="00B31D3F"/>
    <w:rsid w:val="00B6202D"/>
    <w:rsid w:val="00B6324C"/>
    <w:rsid w:val="00B64EA9"/>
    <w:rsid w:val="00B75090"/>
    <w:rsid w:val="00B80BF5"/>
    <w:rsid w:val="00B82E46"/>
    <w:rsid w:val="00B845D8"/>
    <w:rsid w:val="00B94588"/>
    <w:rsid w:val="00BA1895"/>
    <w:rsid w:val="00BA2CA4"/>
    <w:rsid w:val="00BB1029"/>
    <w:rsid w:val="00BB14C8"/>
    <w:rsid w:val="00BB2096"/>
    <w:rsid w:val="00BD11BE"/>
    <w:rsid w:val="00BE4013"/>
    <w:rsid w:val="00BF0AAA"/>
    <w:rsid w:val="00BF2F32"/>
    <w:rsid w:val="00C04507"/>
    <w:rsid w:val="00C065EB"/>
    <w:rsid w:val="00C269E9"/>
    <w:rsid w:val="00C27859"/>
    <w:rsid w:val="00C40B92"/>
    <w:rsid w:val="00C423E3"/>
    <w:rsid w:val="00C522A4"/>
    <w:rsid w:val="00C65A77"/>
    <w:rsid w:val="00C83692"/>
    <w:rsid w:val="00C91BA0"/>
    <w:rsid w:val="00CA2B07"/>
    <w:rsid w:val="00CA6BE5"/>
    <w:rsid w:val="00CB12E3"/>
    <w:rsid w:val="00CC43F1"/>
    <w:rsid w:val="00CC45BB"/>
    <w:rsid w:val="00CD0745"/>
    <w:rsid w:val="00CD7C81"/>
    <w:rsid w:val="00CE237B"/>
    <w:rsid w:val="00CE4112"/>
    <w:rsid w:val="00CE47FA"/>
    <w:rsid w:val="00CF15F4"/>
    <w:rsid w:val="00CF16FB"/>
    <w:rsid w:val="00D1340B"/>
    <w:rsid w:val="00D1587C"/>
    <w:rsid w:val="00D25A40"/>
    <w:rsid w:val="00D3390F"/>
    <w:rsid w:val="00D36D8A"/>
    <w:rsid w:val="00D5349B"/>
    <w:rsid w:val="00D6342D"/>
    <w:rsid w:val="00D6671B"/>
    <w:rsid w:val="00D66DDB"/>
    <w:rsid w:val="00D700F3"/>
    <w:rsid w:val="00D740CC"/>
    <w:rsid w:val="00D767BE"/>
    <w:rsid w:val="00D81219"/>
    <w:rsid w:val="00D85BC2"/>
    <w:rsid w:val="00DB60AA"/>
    <w:rsid w:val="00DC39DB"/>
    <w:rsid w:val="00DC5533"/>
    <w:rsid w:val="00DD5B6B"/>
    <w:rsid w:val="00DE11DC"/>
    <w:rsid w:val="00DF34DD"/>
    <w:rsid w:val="00DF7564"/>
    <w:rsid w:val="00E10681"/>
    <w:rsid w:val="00E11A68"/>
    <w:rsid w:val="00E139D9"/>
    <w:rsid w:val="00E15F27"/>
    <w:rsid w:val="00E1645B"/>
    <w:rsid w:val="00E258C5"/>
    <w:rsid w:val="00E32FC9"/>
    <w:rsid w:val="00E4413A"/>
    <w:rsid w:val="00E53983"/>
    <w:rsid w:val="00E660A7"/>
    <w:rsid w:val="00E671CB"/>
    <w:rsid w:val="00E76DB4"/>
    <w:rsid w:val="00E81EFD"/>
    <w:rsid w:val="00E978C6"/>
    <w:rsid w:val="00EB379C"/>
    <w:rsid w:val="00EB77E4"/>
    <w:rsid w:val="00EC6AC8"/>
    <w:rsid w:val="00ED033F"/>
    <w:rsid w:val="00ED3E4D"/>
    <w:rsid w:val="00ED4ECE"/>
    <w:rsid w:val="00EE675D"/>
    <w:rsid w:val="00F02EAD"/>
    <w:rsid w:val="00F1432D"/>
    <w:rsid w:val="00F258F0"/>
    <w:rsid w:val="00F263CE"/>
    <w:rsid w:val="00F347B2"/>
    <w:rsid w:val="00F34B65"/>
    <w:rsid w:val="00F36BBC"/>
    <w:rsid w:val="00F46205"/>
    <w:rsid w:val="00F66255"/>
    <w:rsid w:val="00F735E5"/>
    <w:rsid w:val="00F81BC7"/>
    <w:rsid w:val="00F8487B"/>
    <w:rsid w:val="00F85F81"/>
    <w:rsid w:val="00FA6545"/>
    <w:rsid w:val="00FA66D9"/>
    <w:rsid w:val="00FA7189"/>
    <w:rsid w:val="00FB0258"/>
    <w:rsid w:val="00FB2F2A"/>
    <w:rsid w:val="00FE058F"/>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831145174">
      <w:bodyDiv w:val="1"/>
      <w:marLeft w:val="0"/>
      <w:marRight w:val="0"/>
      <w:marTop w:val="0"/>
      <w:marBottom w:val="0"/>
      <w:divBdr>
        <w:top w:val="none" w:sz="0" w:space="0" w:color="auto"/>
        <w:left w:val="none" w:sz="0" w:space="0" w:color="auto"/>
        <w:bottom w:val="none" w:sz="0" w:space="0" w:color="auto"/>
        <w:right w:val="none" w:sz="0" w:space="0" w:color="auto"/>
      </w:divBdr>
    </w:div>
    <w:div w:id="990256982">
      <w:bodyDiv w:val="1"/>
      <w:marLeft w:val="0"/>
      <w:marRight w:val="0"/>
      <w:marTop w:val="0"/>
      <w:marBottom w:val="0"/>
      <w:divBdr>
        <w:top w:val="none" w:sz="0" w:space="0" w:color="auto"/>
        <w:left w:val="none" w:sz="0" w:space="0" w:color="auto"/>
        <w:bottom w:val="none" w:sz="0" w:space="0" w:color="auto"/>
        <w:right w:val="none" w:sz="0" w:space="0" w:color="auto"/>
      </w:divBdr>
    </w:div>
    <w:div w:id="1305429689">
      <w:bodyDiv w:val="1"/>
      <w:marLeft w:val="0"/>
      <w:marRight w:val="0"/>
      <w:marTop w:val="0"/>
      <w:marBottom w:val="0"/>
      <w:divBdr>
        <w:top w:val="none" w:sz="0" w:space="0" w:color="auto"/>
        <w:left w:val="none" w:sz="0" w:space="0" w:color="auto"/>
        <w:bottom w:val="none" w:sz="0" w:space="0" w:color="auto"/>
        <w:right w:val="none" w:sz="0" w:space="0" w:color="auto"/>
      </w:divBdr>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508331076">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F8EF0FED-1789-47EF-9556-BAC81843BC8B}"/>
</file>

<file path=customXml/itemProps3.xml><?xml version="1.0" encoding="utf-8"?>
<ds:datastoreItem xmlns:ds="http://schemas.openxmlformats.org/officeDocument/2006/customXml" ds:itemID="{5BC3AC88-F928-4073-BA8B-439A4AD851A5}"/>
</file>

<file path=customXml/itemProps4.xml><?xml version="1.0" encoding="utf-8"?>
<ds:datastoreItem xmlns:ds="http://schemas.openxmlformats.org/officeDocument/2006/customXml" ds:itemID="{E3D08DB0-D7B3-4B50-B53E-0158D4ACC28B}"/>
</file>

<file path=docProps/app.xml><?xml version="1.0" encoding="utf-8"?>
<Properties xmlns="http://schemas.openxmlformats.org/officeDocument/2006/extended-properties" xmlns:vt="http://schemas.openxmlformats.org/officeDocument/2006/docPropsVTypes">
  <Template>Normal.dotm</Template>
  <TotalTime>1</TotalTime>
  <Pages>11</Pages>
  <Words>2569</Words>
  <Characters>14645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Dan Cornell</cp:lastModifiedBy>
  <cp:revision>2</cp:revision>
  <cp:lastPrinted>2019-08-07T11:36:00Z</cp:lastPrinted>
  <dcterms:created xsi:type="dcterms:W3CDTF">2025-07-18T12:00:00Z</dcterms:created>
  <dcterms:modified xsi:type="dcterms:W3CDTF">2025-07-18T12:00:00Z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