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3A4D" w14:textId="6455D76F" w:rsidR="007749A6" w:rsidRPr="007749A6" w:rsidRDefault="007749A6" w:rsidP="007749A6">
      <w:pPr>
        <w:jc w:val="center"/>
        <w:rPr>
          <w:b/>
          <w:bCs/>
          <w:sz w:val="28"/>
          <w:szCs w:val="28"/>
        </w:rPr>
      </w:pPr>
      <w:r w:rsidRPr="007749A6">
        <w:rPr>
          <w:b/>
          <w:bCs/>
          <w:sz w:val="28"/>
          <w:szCs w:val="28"/>
        </w:rPr>
        <w:t>L&amp;Q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608"/>
        <w:gridCol w:w="632"/>
        <w:gridCol w:w="567"/>
        <w:gridCol w:w="567"/>
        <w:gridCol w:w="1134"/>
        <w:gridCol w:w="567"/>
        <w:gridCol w:w="1134"/>
        <w:gridCol w:w="544"/>
        <w:gridCol w:w="1218"/>
        <w:gridCol w:w="585"/>
      </w:tblGrid>
      <w:tr w:rsidR="00BF2567" w14:paraId="7E7C2674" w14:textId="77777777" w:rsidTr="127634E6">
        <w:tc>
          <w:tcPr>
            <w:tcW w:w="1732" w:type="dxa"/>
          </w:tcPr>
          <w:p w14:paraId="0BE8FA24" w14:textId="77777777" w:rsidR="00BF2567" w:rsidRDefault="00BF2567" w:rsidP="007749A6">
            <w:pPr>
              <w:spacing w:beforeLines="40" w:before="96" w:afterLines="40" w:after="96"/>
            </w:pPr>
            <w:r>
              <w:t>Role Title:</w:t>
            </w:r>
          </w:p>
        </w:tc>
        <w:tc>
          <w:tcPr>
            <w:tcW w:w="4075" w:type="dxa"/>
            <w:gridSpan w:val="6"/>
          </w:tcPr>
          <w:p w14:paraId="03D0ECCE" w14:textId="626E32E7" w:rsidR="00BF2567" w:rsidRPr="008F69F1" w:rsidRDefault="00DD5F7D" w:rsidP="007749A6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Tenancy Sustainment Officer – High Rise</w:t>
            </w:r>
          </w:p>
        </w:tc>
        <w:tc>
          <w:tcPr>
            <w:tcW w:w="1134" w:type="dxa"/>
          </w:tcPr>
          <w:p w14:paraId="01195762" w14:textId="77777777" w:rsidR="00BF2567" w:rsidRDefault="00BF2567" w:rsidP="007749A6">
            <w:pPr>
              <w:spacing w:beforeLines="40" w:before="96" w:afterLines="40" w:after="96"/>
            </w:pPr>
            <w:r>
              <w:t>Date:</w:t>
            </w:r>
          </w:p>
        </w:tc>
        <w:tc>
          <w:tcPr>
            <w:tcW w:w="2347" w:type="dxa"/>
            <w:gridSpan w:val="3"/>
          </w:tcPr>
          <w:p w14:paraId="4439F516" w14:textId="38998589" w:rsidR="00BF2567" w:rsidRDefault="00DD5F7D" w:rsidP="007749A6">
            <w:pPr>
              <w:spacing w:beforeLines="40" w:before="96" w:afterLines="40" w:after="96"/>
            </w:pPr>
            <w:r>
              <w:t>July 2025</w:t>
            </w:r>
          </w:p>
        </w:tc>
      </w:tr>
      <w:tr w:rsidR="008F69F1" w14:paraId="1D96C76B" w14:textId="77777777" w:rsidTr="127634E6">
        <w:tc>
          <w:tcPr>
            <w:tcW w:w="1732" w:type="dxa"/>
          </w:tcPr>
          <w:p w14:paraId="7BDC3728" w14:textId="77777777" w:rsidR="00BF2567" w:rsidRDefault="00BF2567" w:rsidP="007749A6">
            <w:pPr>
              <w:spacing w:beforeLines="40" w:before="96" w:afterLines="40" w:after="96"/>
            </w:pPr>
            <w:r>
              <w:t>Reports to Title:</w:t>
            </w:r>
          </w:p>
        </w:tc>
        <w:tc>
          <w:tcPr>
            <w:tcW w:w="4075" w:type="dxa"/>
            <w:gridSpan w:val="6"/>
          </w:tcPr>
          <w:p w14:paraId="4A3D0606" w14:textId="6565C34F" w:rsidR="00BF2567" w:rsidRPr="008F69F1" w:rsidRDefault="00DD5F7D" w:rsidP="007749A6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Tenancy Sustainment Manager</w:t>
            </w:r>
          </w:p>
        </w:tc>
        <w:tc>
          <w:tcPr>
            <w:tcW w:w="1134" w:type="dxa"/>
          </w:tcPr>
          <w:p w14:paraId="221CDDD6" w14:textId="77777777" w:rsidR="00BF2567" w:rsidRDefault="00BF2567" w:rsidP="007749A6">
            <w:pPr>
              <w:spacing w:beforeLines="40" w:before="96" w:afterLines="40" w:after="96"/>
            </w:pPr>
            <w:r>
              <w:t>Version:</w:t>
            </w:r>
          </w:p>
        </w:tc>
        <w:tc>
          <w:tcPr>
            <w:tcW w:w="2347" w:type="dxa"/>
            <w:gridSpan w:val="3"/>
          </w:tcPr>
          <w:p w14:paraId="4877236C" w14:textId="5ABA0C69" w:rsidR="00BF2567" w:rsidRDefault="00DD5F7D" w:rsidP="007749A6">
            <w:pPr>
              <w:spacing w:beforeLines="40" w:before="96" w:afterLines="40" w:after="96"/>
            </w:pPr>
            <w:r>
              <w:t>1</w:t>
            </w:r>
          </w:p>
        </w:tc>
      </w:tr>
      <w:tr w:rsidR="007749A6" w14:paraId="44B8CAB6" w14:textId="77777777" w:rsidTr="127634E6">
        <w:tc>
          <w:tcPr>
            <w:tcW w:w="1732" w:type="dxa"/>
            <w:shd w:val="clear" w:color="auto" w:fill="auto"/>
          </w:tcPr>
          <w:p w14:paraId="3C6D1DE7" w14:textId="77777777" w:rsidR="00BF2567" w:rsidRDefault="00BF2567" w:rsidP="007749A6">
            <w:pPr>
              <w:spacing w:beforeLines="40" w:before="96" w:afterLines="40" w:after="96"/>
            </w:pPr>
            <w:r>
              <w:t>DBS Disclosure Required: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120EC1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Yes</w:t>
            </w:r>
          </w:p>
        </w:tc>
        <w:tc>
          <w:tcPr>
            <w:tcW w:w="632" w:type="dxa"/>
            <w:shd w:val="clear" w:color="auto" w:fill="auto"/>
          </w:tcPr>
          <w:p w14:paraId="270D87D8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21355F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E09576E" w14:textId="1A4559B0" w:rsidR="00BF2567" w:rsidRDefault="20AE648E" w:rsidP="007749A6">
            <w:pPr>
              <w:spacing w:beforeLines="40" w:before="96" w:afterLines="40" w:after="96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6BC93E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Standard</w:t>
            </w:r>
          </w:p>
        </w:tc>
        <w:tc>
          <w:tcPr>
            <w:tcW w:w="567" w:type="dxa"/>
            <w:shd w:val="clear" w:color="auto" w:fill="auto"/>
          </w:tcPr>
          <w:p w14:paraId="1D13FE6E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149090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</w:t>
            </w:r>
          </w:p>
        </w:tc>
        <w:tc>
          <w:tcPr>
            <w:tcW w:w="544" w:type="dxa"/>
            <w:shd w:val="clear" w:color="auto" w:fill="auto"/>
          </w:tcPr>
          <w:p w14:paraId="66FAAC8B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39BA2E3B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Enhanced+</w:t>
            </w:r>
          </w:p>
        </w:tc>
        <w:tc>
          <w:tcPr>
            <w:tcW w:w="585" w:type="dxa"/>
            <w:shd w:val="clear" w:color="auto" w:fill="auto"/>
          </w:tcPr>
          <w:p w14:paraId="368C7031" w14:textId="77777777" w:rsidR="00BF2567" w:rsidRDefault="00BF2567" w:rsidP="007749A6">
            <w:pPr>
              <w:spacing w:beforeLines="40" w:before="96" w:afterLines="40" w:after="96"/>
            </w:pPr>
          </w:p>
        </w:tc>
      </w:tr>
      <w:tr w:rsidR="00BF2567" w14:paraId="06C5381A" w14:textId="77777777" w:rsidTr="127634E6">
        <w:tc>
          <w:tcPr>
            <w:tcW w:w="9288" w:type="dxa"/>
            <w:gridSpan w:val="11"/>
          </w:tcPr>
          <w:p w14:paraId="004589D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Responsibility for End Results</w:t>
            </w:r>
          </w:p>
        </w:tc>
      </w:tr>
      <w:tr w:rsidR="00BF2567" w14:paraId="184C210E" w14:textId="77777777" w:rsidTr="127634E6">
        <w:tc>
          <w:tcPr>
            <w:tcW w:w="9288" w:type="dxa"/>
            <w:gridSpan w:val="11"/>
          </w:tcPr>
          <w:p w14:paraId="5705E5C2" w14:textId="77777777" w:rsidR="00BF2567" w:rsidRPr="008F69F1" w:rsidRDefault="00BF2567" w:rsidP="007749A6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Purpose:</w:t>
            </w:r>
          </w:p>
        </w:tc>
      </w:tr>
      <w:tr w:rsidR="00DD5F7D" w14:paraId="0BA22BD2" w14:textId="77777777" w:rsidTr="127634E6">
        <w:tc>
          <w:tcPr>
            <w:tcW w:w="9288" w:type="dxa"/>
            <w:gridSpan w:val="11"/>
          </w:tcPr>
          <w:p w14:paraId="1A0C86D6" w14:textId="77777777" w:rsidR="00DD5F7D" w:rsidRDefault="00DD5F7D" w:rsidP="00DD5F7D">
            <w:pPr>
              <w:ind w:left="360"/>
              <w:rPr>
                <w:rFonts w:cs="Arial"/>
                <w:sz w:val="20"/>
                <w:szCs w:val="20"/>
              </w:rPr>
            </w:pPr>
          </w:p>
          <w:p w14:paraId="3CCFB97D" w14:textId="4CE9E126" w:rsidR="008C7C47" w:rsidRPr="008C7C47" w:rsidRDefault="008C7C47" w:rsidP="008C7C47">
            <w:pPr>
              <w:numPr>
                <w:ilvl w:val="0"/>
                <w:numId w:val="10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Delivering</w:t>
            </w:r>
            <w:r w:rsidRPr="008C7C47">
              <w:rPr>
                <w:rFonts w:cs="Arial"/>
                <w:sz w:val="20"/>
                <w:szCs w:val="20"/>
              </w:rPr>
              <w:t xml:space="preserve"> a responsive, efficient, agile, high quality and customer focused housing management service. </w:t>
            </w:r>
            <w:r>
              <w:rPr>
                <w:rFonts w:cs="Arial"/>
                <w:sz w:val="20"/>
                <w:szCs w:val="20"/>
              </w:rPr>
              <w:t>To complete the day to day</w:t>
            </w:r>
            <w:r w:rsidRPr="008C7C47">
              <w:rPr>
                <w:rFonts w:cs="Arial"/>
                <w:sz w:val="20"/>
                <w:szCs w:val="20"/>
              </w:rPr>
              <w:t xml:space="preserve"> Housing Management function, ensuring the delivery of reliable, repeatable, and consistent services that residents value and are satisfied with. </w:t>
            </w:r>
            <w:r w:rsidRPr="008C7C4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4D5411C4" w14:textId="3D28CEBF" w:rsidR="008C7C47" w:rsidRPr="008C7C47" w:rsidRDefault="008C7C47" w:rsidP="008C7C4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8C7C47">
              <w:rPr>
                <w:rFonts w:cs="Arial"/>
                <w:sz w:val="20"/>
                <w:szCs w:val="20"/>
              </w:rPr>
              <w:t xml:space="preserve">This FTC role will have specific responsibilities pertaining to the </w:t>
            </w:r>
            <w:r>
              <w:rPr>
                <w:rFonts w:cs="Arial"/>
                <w:sz w:val="20"/>
                <w:szCs w:val="20"/>
              </w:rPr>
              <w:t>delivery o</w:t>
            </w:r>
            <w:r w:rsidR="0058392F">
              <w:rPr>
                <w:rFonts w:cs="Arial"/>
                <w:sz w:val="20"/>
                <w:szCs w:val="20"/>
              </w:rPr>
              <w:t xml:space="preserve">f </w:t>
            </w:r>
            <w:r>
              <w:rPr>
                <w:rFonts w:cs="Arial"/>
                <w:sz w:val="20"/>
                <w:szCs w:val="20"/>
              </w:rPr>
              <w:t xml:space="preserve">Housing Management functions to our High Rise customers and supporting the Inspector (estates) with inspections in times of planned or unplanned absence. </w:t>
            </w:r>
          </w:p>
          <w:p w14:paraId="3B9CDB9F" w14:textId="1977EF34" w:rsidR="008C7C47" w:rsidRPr="00DD5F7D" w:rsidRDefault="008C7C47" w:rsidP="00DD5F7D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DD5F7D" w14:paraId="7A3D2C47" w14:textId="77777777" w:rsidTr="127634E6">
        <w:tc>
          <w:tcPr>
            <w:tcW w:w="9288" w:type="dxa"/>
            <w:gridSpan w:val="11"/>
          </w:tcPr>
          <w:p w14:paraId="6777CE96" w14:textId="77777777" w:rsidR="00DD5F7D" w:rsidRPr="008F69F1" w:rsidRDefault="00DD5F7D" w:rsidP="00DD5F7D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Key Responsibilities / Deliverables:</w:t>
            </w:r>
          </w:p>
        </w:tc>
      </w:tr>
      <w:tr w:rsidR="00DD5F7D" w14:paraId="69AD4BC4" w14:textId="77777777" w:rsidTr="127634E6">
        <w:tc>
          <w:tcPr>
            <w:tcW w:w="9288" w:type="dxa"/>
            <w:gridSpan w:val="11"/>
          </w:tcPr>
          <w:p w14:paraId="7F0C370D" w14:textId="77777777" w:rsidR="008C7C47" w:rsidRPr="00372567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Consult, devise and deliver a comprehensive high-quality tenancy sustainability for our high rise customers. </w:t>
            </w:r>
          </w:p>
          <w:p w14:paraId="12A8DE0B" w14:textId="77777777" w:rsidR="008C7C47" w:rsidRPr="00B77E08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Investigate requests for assignments, successions, and other amendments to tenancies and recommend approval or refusal.</w:t>
            </w:r>
          </w:p>
          <w:p w14:paraId="735B0A42" w14:textId="77777777" w:rsidR="008C7C47" w:rsidRPr="00F9640F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Liaise with colleagues/contractors responsible for the delivery of estate management services and engage customers in neighbourhood inspections and act on their feedback to achieve service improvements.  </w:t>
            </w:r>
          </w:p>
          <w:p w14:paraId="06A58403" w14:textId="77777777" w:rsidR="008C7C47" w:rsidRPr="00372567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Carry out tenancy audits to ensure that they are maintained and kept to a reasonable standard and comply with fire safety regulations where there is a cause for concern </w:t>
            </w:r>
          </w:p>
          <w:p w14:paraId="16C60849" w14:textId="77777777" w:rsidR="008C7C47" w:rsidRPr="00A92455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Respond to general correspondence in line with policy and procedures, and assist in dealing with, and replying to, customer dissatisfaction and complaints Councillor and MP enquiries.</w:t>
            </w:r>
          </w:p>
          <w:p w14:paraId="46389DE7" w14:textId="77777777" w:rsidR="008C7C47" w:rsidRPr="001348B0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Liaise with other agencies and / or colleagues on issues relating to housing management and household welfare issues.</w:t>
            </w:r>
          </w:p>
          <w:p w14:paraId="050E8867" w14:textId="77777777" w:rsidR="008C7C47" w:rsidRDefault="008C7C47" w:rsidP="008C7C47">
            <w:pPr>
              <w:pStyle w:val="HayGroup11"/>
              <w:numPr>
                <w:ilvl w:val="0"/>
                <w:numId w:val="4"/>
              </w:numPr>
              <w:spacing w:before="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0622EB">
              <w:rPr>
                <w:rFonts w:asciiTheme="minorHAnsi" w:hAnsiTheme="minorHAnsi"/>
                <w:color w:val="000000"/>
                <w:sz w:val="20"/>
                <w:szCs w:val="20"/>
              </w:rPr>
              <w:t>nsure customers receive high quality, responsive and resolution focused services.</w:t>
            </w:r>
          </w:p>
          <w:p w14:paraId="199396F6" w14:textId="77777777" w:rsidR="008C7C47" w:rsidRPr="003B594F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Meet individual and team key performance targets for sustaining and improving the quality of the service.</w:t>
            </w:r>
          </w:p>
          <w:p w14:paraId="4E13100B" w14:textId="77777777" w:rsidR="008C7C47" w:rsidRPr="00DB7C7A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 carry out all the functions related to the Tenancy Sustainment service.  This includes but not exclusively:</w:t>
            </w:r>
          </w:p>
          <w:p w14:paraId="4C5B4412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Consulting with residents and customers &amp; developing neighbourhood champions and other forms of customer engagement </w:t>
            </w:r>
          </w:p>
          <w:p w14:paraId="644F4AB7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Drafting and finalising a tenancy sustainability offer for the benefit of communities which tackle unmet need </w:t>
            </w:r>
          </w:p>
          <w:p w14:paraId="50F24910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 ways to effectively engage with high rise customers in order to deliver bespoke communication and engagement plans  </w:t>
            </w:r>
          </w:p>
          <w:p w14:paraId="79E9CAF1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Deliver the promises contained within the customer offer </w:t>
            </w:r>
          </w:p>
          <w:p w14:paraId="191B817B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Proactive in devising autonomous or collaborative case strategies for addressing community waste management issues  </w:t>
            </w:r>
          </w:p>
          <w:p w14:paraId="4F42FDF6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Developing and delivering environmental budget schemes and grounds maintenance replenishment </w:t>
            </w:r>
          </w:p>
          <w:p w14:paraId="58159BA2" w14:textId="77777777" w:rsidR="008C7C4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Investigating parking issues involving unauthorised, hazardous &amp; abandoned vehicles, fly tipping, pets, abandoned properties, domestic violence and power of entry until such point as it is identified as a breach of tenancy and case to be forwarded to enforcement team.</w:t>
            </w:r>
          </w:p>
          <w:p w14:paraId="50008AD0" w14:textId="77777777" w:rsidR="008C7C47" w:rsidRPr="00372567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Investigating </w:t>
            </w:r>
            <w:r>
              <w:rPr>
                <w:rFonts w:cstheme="minorHAnsi"/>
                <w:sz w:val="20"/>
                <w:szCs w:val="20"/>
              </w:rPr>
              <w:t>requests for assignments, successions, and other amendments to tenancies to approve or refuse.</w:t>
            </w:r>
          </w:p>
          <w:p w14:paraId="3FDA3C28" w14:textId="279962CF" w:rsidR="008C7C47" w:rsidRPr="00676680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with Inspector</w:t>
            </w:r>
            <w:r w:rsidR="0058392F">
              <w:rPr>
                <w:rFonts w:cs="Arial"/>
                <w:sz w:val="20"/>
                <w:szCs w:val="20"/>
              </w:rPr>
              <w:t xml:space="preserve"> (Estates)</w:t>
            </w:r>
            <w:r>
              <w:rPr>
                <w:rFonts w:cs="Arial"/>
                <w:sz w:val="20"/>
                <w:szCs w:val="20"/>
              </w:rPr>
              <w:t xml:space="preserve"> to complete estate inspections as necessary. </w:t>
            </w:r>
          </w:p>
          <w:p w14:paraId="3242A845" w14:textId="77777777" w:rsidR="008C7C47" w:rsidRPr="00676680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Communicate decisions to customers in a professional and timely manner</w:t>
            </w:r>
          </w:p>
          <w:p w14:paraId="423E1B75" w14:textId="77777777" w:rsidR="008C7C47" w:rsidRPr="00DD5F7D" w:rsidRDefault="008C7C47" w:rsidP="008C7C4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Maintain accurate paper and computerised records of decisions and amendments to tenancies.</w:t>
            </w:r>
          </w:p>
          <w:p w14:paraId="17D88D31" w14:textId="5AAFAE32" w:rsidR="00DD5F7D" w:rsidRPr="0058392F" w:rsidRDefault="00DD5F7D" w:rsidP="0058392F">
            <w:pPr>
              <w:spacing w:beforeLines="40" w:before="96" w:afterLines="40" w:after="96"/>
              <w:ind w:left="360"/>
              <w:rPr>
                <w:lang w:val="en-US"/>
              </w:rPr>
            </w:pPr>
          </w:p>
        </w:tc>
      </w:tr>
      <w:tr w:rsidR="00DD5F7D" w14:paraId="283B5D44" w14:textId="77777777" w:rsidTr="127634E6">
        <w:tc>
          <w:tcPr>
            <w:tcW w:w="9288" w:type="dxa"/>
            <w:gridSpan w:val="11"/>
          </w:tcPr>
          <w:p w14:paraId="21C1F0B0" w14:textId="4AC83D26" w:rsidR="00DD5F7D" w:rsidRDefault="00DD5F7D" w:rsidP="00DD5F7D">
            <w:pPr>
              <w:spacing w:beforeLines="40" w:before="96" w:afterLines="40" w:after="96"/>
            </w:pPr>
            <w:r w:rsidRPr="008F69F1">
              <w:rPr>
                <w:b/>
                <w:bCs/>
              </w:rPr>
              <w:lastRenderedPageBreak/>
              <w:t>Main Accountabilities</w:t>
            </w:r>
            <w:r>
              <w:t xml:space="preserve"> </w:t>
            </w:r>
          </w:p>
        </w:tc>
      </w:tr>
      <w:tr w:rsidR="00DD5F7D" w14:paraId="281C7162" w14:textId="77777777" w:rsidTr="127634E6">
        <w:tc>
          <w:tcPr>
            <w:tcW w:w="9288" w:type="dxa"/>
            <w:gridSpan w:val="11"/>
          </w:tcPr>
          <w:p w14:paraId="0875BE91" w14:textId="77777777" w:rsidR="00DD5F7D" w:rsidRPr="008F69F1" w:rsidRDefault="00DD5F7D" w:rsidP="00DD5F7D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Working with others: Internal</w:t>
            </w:r>
          </w:p>
        </w:tc>
      </w:tr>
      <w:tr w:rsidR="00DD5F7D" w14:paraId="51D83C8A" w14:textId="77777777" w:rsidTr="127634E6">
        <w:tc>
          <w:tcPr>
            <w:tcW w:w="9288" w:type="dxa"/>
            <w:gridSpan w:val="11"/>
          </w:tcPr>
          <w:p w14:paraId="33EEDA8B" w14:textId="77777777" w:rsidR="007C6897" w:rsidRDefault="007C6897" w:rsidP="007C6897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Liaise with the relevant Council’s Housing team and contractors as appropriate</w:t>
            </w:r>
          </w:p>
          <w:p w14:paraId="6636729F" w14:textId="06174176" w:rsidR="00DD5F7D" w:rsidRDefault="00DD5F7D" w:rsidP="00DD5F7D">
            <w:pPr>
              <w:spacing w:beforeLines="40" w:before="96" w:afterLines="40" w:after="96"/>
            </w:pPr>
          </w:p>
        </w:tc>
      </w:tr>
      <w:tr w:rsidR="00DD5F7D" w14:paraId="1D6BB2E3" w14:textId="77777777" w:rsidTr="127634E6">
        <w:tc>
          <w:tcPr>
            <w:tcW w:w="9288" w:type="dxa"/>
            <w:gridSpan w:val="11"/>
          </w:tcPr>
          <w:p w14:paraId="6F9760DB" w14:textId="77777777" w:rsidR="00DD5F7D" w:rsidRPr="008F69F1" w:rsidRDefault="00DD5F7D" w:rsidP="00DD5F7D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Working with others: External</w:t>
            </w:r>
          </w:p>
        </w:tc>
      </w:tr>
      <w:tr w:rsidR="00DD5F7D" w14:paraId="57430A14" w14:textId="77777777" w:rsidTr="127634E6">
        <w:tc>
          <w:tcPr>
            <w:tcW w:w="9288" w:type="dxa"/>
            <w:gridSpan w:val="11"/>
          </w:tcPr>
          <w:p w14:paraId="10B79FCE" w14:textId="69EA7B9A" w:rsidR="00DD5F7D" w:rsidRDefault="00DD5F7D" w:rsidP="00DD5F7D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Collaborate with Councillors, MPs, and other external stakeholders to provide timely updates and responses to residents.</w:t>
            </w:r>
          </w:p>
          <w:p w14:paraId="47BA75B9" w14:textId="0FB001AC" w:rsidR="00DD5F7D" w:rsidRDefault="00DD5F7D" w:rsidP="00DD5F7D">
            <w:pPr>
              <w:pStyle w:val="ListParagraph"/>
              <w:spacing w:beforeLines="40" w:before="96" w:afterLines="40" w:after="96"/>
              <w:rPr>
                <w:rFonts w:eastAsiaTheme="minorEastAsia"/>
              </w:rPr>
            </w:pPr>
          </w:p>
        </w:tc>
      </w:tr>
    </w:tbl>
    <w:p w14:paraId="2FD2C2C1" w14:textId="1FB5C6A1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14:paraId="517F3607" w14:textId="77777777" w:rsidTr="127634E6">
        <w:tc>
          <w:tcPr>
            <w:tcW w:w="9288" w:type="dxa"/>
          </w:tcPr>
          <w:p w14:paraId="7E77B59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Knowledge, Skills and Abilities</w:t>
            </w:r>
          </w:p>
        </w:tc>
      </w:tr>
      <w:tr w:rsidR="007749A6" w14:paraId="34C5CA57" w14:textId="77777777" w:rsidTr="127634E6">
        <w:tc>
          <w:tcPr>
            <w:tcW w:w="9288" w:type="dxa"/>
          </w:tcPr>
          <w:p w14:paraId="18489D43" w14:textId="77777777" w:rsidR="007749A6" w:rsidRDefault="007749A6" w:rsidP="00C93220">
            <w:pPr>
              <w:spacing w:beforeLines="40" w:before="96" w:afterLines="40" w:after="96"/>
            </w:pPr>
            <w:r>
              <w:t>Essential:</w:t>
            </w:r>
          </w:p>
        </w:tc>
      </w:tr>
      <w:tr w:rsidR="007749A6" w14:paraId="72C264D4" w14:textId="77777777" w:rsidTr="127634E6">
        <w:tc>
          <w:tcPr>
            <w:tcW w:w="9288" w:type="dxa"/>
          </w:tcPr>
          <w:p w14:paraId="679CFA35" w14:textId="77777777" w:rsidR="00DD5F7D" w:rsidRDefault="00DD5F7D" w:rsidP="00DD5F7D">
            <w:pPr>
              <w:pStyle w:val="HayGroup11"/>
              <w:numPr>
                <w:ilvl w:val="0"/>
                <w:numId w:val="2"/>
              </w:numPr>
              <w:spacing w:before="8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Knowledge and experience of housing management policies and procedures.</w:t>
            </w:r>
          </w:p>
          <w:p w14:paraId="0C37A81C" w14:textId="77777777" w:rsidR="00DD5F7D" w:rsidRPr="0010021C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D2D45">
              <w:rPr>
                <w:rFonts w:asciiTheme="minorHAnsi" w:hAnsiTheme="minorHAnsi"/>
                <w:sz w:val="20"/>
                <w:szCs w:val="20"/>
              </w:rPr>
              <w:t>Experience of working within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customer-focused environment</w:t>
            </w:r>
            <w:r w:rsidRPr="005D2D4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90061" w14:textId="77777777" w:rsidR="00DD5F7D" w:rsidRPr="0010021C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Experience of effective customer engagement and developing productive relationships with individual customers and engaged customers </w:t>
            </w:r>
          </w:p>
          <w:p w14:paraId="7BD06AA4" w14:textId="77777777" w:rsidR="00DD5F7D" w:rsidRPr="000E4A2B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Excellent emotional intelligence and empathy are essential </w:t>
            </w:r>
          </w:p>
          <w:p w14:paraId="05981AE1" w14:textId="77777777" w:rsidR="00DD5F7D" w:rsidRPr="00665442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Excellent written and verbal communication skills.</w:t>
            </w:r>
          </w:p>
          <w:p w14:paraId="374BE29C" w14:textId="77777777" w:rsidR="00DD5F7D" w:rsidRPr="005072E2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Good time management skills, ability to prioritise, copes well under pressure and meet targets.</w:t>
            </w:r>
            <w:r w:rsidRPr="005072E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14:paraId="75414F57" w14:textId="77777777" w:rsidR="00DD5F7D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Demonstrate proficient use of Microsoft Office packages </w:t>
            </w:r>
          </w:p>
          <w:p w14:paraId="658DA02F" w14:textId="77777777" w:rsidR="00DD5F7D" w:rsidRDefault="00DD5F7D" w:rsidP="00DD5F7D">
            <w:pPr>
              <w:pStyle w:val="HayGroup11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Full driving licence and access to a vehicle with business use insurance </w:t>
            </w:r>
          </w:p>
          <w:p w14:paraId="22F02B85" w14:textId="57343097" w:rsidR="006025D9" w:rsidRDefault="006025D9" w:rsidP="007C6897">
            <w:pPr>
              <w:pStyle w:val="ListParagraph"/>
              <w:spacing w:beforeLines="40" w:before="96" w:afterLines="40" w:after="96"/>
            </w:pPr>
          </w:p>
        </w:tc>
      </w:tr>
      <w:tr w:rsidR="007749A6" w14:paraId="5AF140BE" w14:textId="77777777" w:rsidTr="127634E6">
        <w:tc>
          <w:tcPr>
            <w:tcW w:w="9288" w:type="dxa"/>
          </w:tcPr>
          <w:p w14:paraId="26A31F37" w14:textId="77777777" w:rsidR="007749A6" w:rsidRDefault="007749A6" w:rsidP="00C93220">
            <w:pPr>
              <w:spacing w:beforeLines="40" w:before="96" w:afterLines="40" w:after="96"/>
            </w:pPr>
            <w:r>
              <w:t>Desirable:</w:t>
            </w:r>
          </w:p>
        </w:tc>
      </w:tr>
      <w:tr w:rsidR="007749A6" w14:paraId="6257F3CE" w14:textId="77777777" w:rsidTr="127634E6">
        <w:tc>
          <w:tcPr>
            <w:tcW w:w="9288" w:type="dxa"/>
          </w:tcPr>
          <w:p w14:paraId="744DA8F7" w14:textId="68D29F35" w:rsidR="007749A6" w:rsidRDefault="007749A6" w:rsidP="008C7C47">
            <w:pPr>
              <w:spacing w:beforeLines="40" w:before="96" w:afterLines="40" w:after="96"/>
            </w:pPr>
          </w:p>
        </w:tc>
      </w:tr>
    </w:tbl>
    <w:p w14:paraId="1B91D7B2" w14:textId="450C8CE6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:rsidRPr="007749A6" w14:paraId="69874FF4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3BE8B57D" w14:textId="77777777" w:rsidR="007749A6" w:rsidRPr="007749A6" w:rsidRDefault="007749A6" w:rsidP="007749A6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 w:rsidRPr="007749A6">
              <w:rPr>
                <w:b/>
                <w:bCs/>
              </w:rPr>
              <w:t>L&amp;Q Values</w:t>
            </w:r>
          </w:p>
        </w:tc>
      </w:tr>
      <w:tr w:rsidR="007749A6" w14:paraId="0669C650" w14:textId="77777777" w:rsidTr="127634E6">
        <w:tc>
          <w:tcPr>
            <w:tcW w:w="9288" w:type="dxa"/>
          </w:tcPr>
          <w:p w14:paraId="071331CA" w14:textId="5DF4316B" w:rsidR="007749A6" w:rsidRDefault="007749A6" w:rsidP="00C93220">
            <w:pPr>
              <w:spacing w:beforeLines="40" w:before="96" w:afterLines="40" w:after="96"/>
            </w:pPr>
            <w:r>
              <w:t>These are our guiding principles</w:t>
            </w:r>
            <w:r w:rsidR="64029A5A">
              <w:t xml:space="preserve">. </w:t>
            </w:r>
            <w:r>
              <w:t>They describe how we deliver our mission and vision through our behaviours and actions</w:t>
            </w:r>
            <w:r w:rsidR="2D244B93">
              <w:t xml:space="preserve">. </w:t>
            </w:r>
          </w:p>
        </w:tc>
      </w:tr>
      <w:tr w:rsidR="007749A6" w:rsidRPr="007749A6" w14:paraId="76BECDF3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22E999D2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People</w:t>
            </w:r>
          </w:p>
        </w:tc>
      </w:tr>
      <w:tr w:rsidR="007749A6" w14:paraId="5C8F67AB" w14:textId="77777777" w:rsidTr="127634E6">
        <w:tc>
          <w:tcPr>
            <w:tcW w:w="9288" w:type="dxa"/>
          </w:tcPr>
          <w:p w14:paraId="10EFDA1E" w14:textId="01E9E8CA" w:rsidR="007749A6" w:rsidRDefault="007749A6" w:rsidP="00C93220">
            <w:pPr>
              <w:spacing w:beforeLines="40" w:before="96" w:afterLines="40" w:after="96"/>
            </w:pPr>
            <w:r>
              <w:t>We care about the happiness and wellbeing of our customers and employees</w:t>
            </w:r>
            <w:r w:rsidR="72F5029E">
              <w:t xml:space="preserve">. </w:t>
            </w:r>
          </w:p>
        </w:tc>
      </w:tr>
      <w:tr w:rsidR="007749A6" w:rsidRPr="007749A6" w14:paraId="173F6F71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048902DC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Passion</w:t>
            </w:r>
          </w:p>
        </w:tc>
      </w:tr>
      <w:tr w:rsidR="007749A6" w14:paraId="426CE54F" w14:textId="77777777" w:rsidTr="127634E6">
        <w:tc>
          <w:tcPr>
            <w:tcW w:w="9288" w:type="dxa"/>
          </w:tcPr>
          <w:p w14:paraId="77A2FA65" w14:textId="4DE02950" w:rsidR="007749A6" w:rsidRDefault="007749A6" w:rsidP="00C93220">
            <w:pPr>
              <w:spacing w:beforeLines="40" w:before="96" w:afterLines="40" w:after="96"/>
            </w:pPr>
            <w:r>
              <w:t xml:space="preserve">We approach everything with energy, drive, </w:t>
            </w:r>
            <w:r w:rsidR="7A8D2FD7">
              <w:t>determination,</w:t>
            </w:r>
            <w:r>
              <w:t xml:space="preserve"> and enthusiasm.</w:t>
            </w:r>
          </w:p>
        </w:tc>
      </w:tr>
      <w:tr w:rsidR="007749A6" w:rsidRPr="007749A6" w14:paraId="04D5BC4B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66A5E1D6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lastRenderedPageBreak/>
              <w:t>Inclusion</w:t>
            </w:r>
          </w:p>
        </w:tc>
      </w:tr>
      <w:tr w:rsidR="007749A6" w14:paraId="598DB41B" w14:textId="77777777" w:rsidTr="127634E6">
        <w:tc>
          <w:tcPr>
            <w:tcW w:w="9288" w:type="dxa"/>
          </w:tcPr>
          <w:p w14:paraId="16A52BCA" w14:textId="2A25395D" w:rsidR="007749A6" w:rsidRDefault="007749A6" w:rsidP="00C93220">
            <w:pPr>
              <w:spacing w:beforeLines="40" w:before="96" w:afterLines="40" w:after="96"/>
            </w:pPr>
            <w:r>
              <w:t>We draw strength from our differences and work collaboratively</w:t>
            </w:r>
            <w:r w:rsidR="489C43C3">
              <w:t xml:space="preserve">. </w:t>
            </w:r>
          </w:p>
        </w:tc>
      </w:tr>
      <w:tr w:rsidR="007749A6" w:rsidRPr="007749A6" w14:paraId="2DF42564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2C4353D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Responsibility</w:t>
            </w:r>
          </w:p>
        </w:tc>
      </w:tr>
      <w:tr w:rsidR="007749A6" w14:paraId="0163F76C" w14:textId="77777777" w:rsidTr="127634E6">
        <w:tc>
          <w:tcPr>
            <w:tcW w:w="9288" w:type="dxa"/>
          </w:tcPr>
          <w:p w14:paraId="0A4B2F58" w14:textId="5AC7F420" w:rsidR="007749A6" w:rsidRDefault="007749A6" w:rsidP="00C93220">
            <w:pPr>
              <w:spacing w:beforeLines="40" w:before="96" w:afterLines="40" w:after="96"/>
            </w:pPr>
            <w:r>
              <w:t>We own problems and deliver effective, lasting solutions</w:t>
            </w:r>
            <w:r w:rsidR="6FA72C8A">
              <w:t xml:space="preserve">. </w:t>
            </w:r>
          </w:p>
        </w:tc>
      </w:tr>
      <w:tr w:rsidR="007749A6" w:rsidRPr="007749A6" w14:paraId="6CE496F6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7317A36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Impact</w:t>
            </w:r>
          </w:p>
        </w:tc>
      </w:tr>
      <w:tr w:rsidR="007749A6" w14:paraId="0A3DFBBA" w14:textId="77777777" w:rsidTr="127634E6">
        <w:tc>
          <w:tcPr>
            <w:tcW w:w="9288" w:type="dxa"/>
          </w:tcPr>
          <w:p w14:paraId="18803A01" w14:textId="2BF198C3" w:rsidR="007749A6" w:rsidRDefault="007749A6" w:rsidP="00C93220">
            <w:pPr>
              <w:spacing w:beforeLines="40" w:before="96" w:afterLines="40" w:after="96"/>
            </w:pPr>
            <w:r>
              <w:t>We measure what we do by the difference we make</w:t>
            </w:r>
            <w:r w:rsidR="4EC2FCB8">
              <w:t xml:space="preserve">. </w:t>
            </w:r>
          </w:p>
        </w:tc>
      </w:tr>
      <w:tr w:rsidR="007749A6" w:rsidRPr="007749A6" w14:paraId="12492482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06EECD5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Other</w:t>
            </w:r>
          </w:p>
        </w:tc>
      </w:tr>
      <w:tr w:rsidR="007749A6" w14:paraId="29B29737" w14:textId="77777777" w:rsidTr="127634E6">
        <w:tc>
          <w:tcPr>
            <w:tcW w:w="9288" w:type="dxa"/>
          </w:tcPr>
          <w:p w14:paraId="1B0A39CA" w14:textId="77777777" w:rsidR="007749A6" w:rsidRDefault="007749A6" w:rsidP="00C93220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>Commit to supporting L&amp;Q’s environmental policy and social mission.</w:t>
            </w:r>
          </w:p>
          <w:p w14:paraId="784C9C31" w14:textId="38D70DB3" w:rsidR="007749A6" w:rsidRPr="007749A6" w:rsidRDefault="007749A6" w:rsidP="127634E6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lang w:eastAsia="en-GB"/>
              </w:rPr>
            </w:pPr>
            <w:r w:rsidRPr="127634E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Comply with all L&amp;Q Health and Safety policies and procedures and commit to working towards best practice in the control of health and safety risks.</w:t>
            </w:r>
          </w:p>
          <w:p w14:paraId="7257B473" w14:textId="63124CF3" w:rsidR="007749A6" w:rsidRPr="00A85BFE" w:rsidRDefault="22002304" w:rsidP="127634E6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lang w:eastAsia="en-GB"/>
              </w:rPr>
            </w:pPr>
            <w:r w:rsidRPr="127634E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Deliver services in line with customer promise.</w:t>
            </w:r>
          </w:p>
        </w:tc>
      </w:tr>
      <w:tr w:rsidR="00A85BFE" w14:paraId="143C89C2" w14:textId="77777777" w:rsidTr="127634E6">
        <w:tc>
          <w:tcPr>
            <w:tcW w:w="9288" w:type="dxa"/>
          </w:tcPr>
          <w:p w14:paraId="208ED7CA" w14:textId="77777777" w:rsidR="00A85BFE" w:rsidRDefault="00A85BFE" w:rsidP="00A85BFE">
            <w:pPr>
              <w:spacing w:beforeLines="40" w:before="96" w:afterLines="40" w:after="96"/>
              <w:rPr>
                <w:b/>
                <w:bCs/>
                <w:u w:val="single"/>
              </w:rPr>
            </w:pPr>
            <w:r w:rsidRPr="00A85BFE">
              <w:rPr>
                <w:b/>
                <w:bCs/>
                <w:u w:val="single"/>
              </w:rPr>
              <w:t xml:space="preserve">Compliance </w:t>
            </w:r>
          </w:p>
          <w:p w14:paraId="4FB60076" w14:textId="73CB0DE3" w:rsidR="00A85BFE" w:rsidRPr="00A85BFE" w:rsidRDefault="00A85BFE" w:rsidP="00A85BFE">
            <w:r>
              <w:rPr>
                <w:rFonts w:ascii="Arial" w:hAnsi="Arial" w:cs="Arial"/>
                <w:i/>
                <w:iCs/>
              </w:rPr>
              <w:t>To work within L&amp;Q’s principle of ‘safeguarding being everyone’s business’ and respond accordingly and in-line with L&amp;Q’s safeguarding policies, should you have concerns about a child or adult at risk.</w:t>
            </w:r>
          </w:p>
        </w:tc>
      </w:tr>
    </w:tbl>
    <w:p w14:paraId="4933D408" w14:textId="7A5C879C" w:rsidR="127634E6" w:rsidRDefault="127634E6"/>
    <w:p w14:paraId="22F91596" w14:textId="77777777" w:rsidR="00A85BFE" w:rsidRDefault="00A85BFE"/>
    <w:sectPr w:rsidR="00A85BFE" w:rsidSect="00BF2567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g3YGEqIJWwsvT" int2:id="kqDD17WR">
      <int2:state int2:value="Rejected" int2:type="LegacyProofing"/>
    </int2:textHash>
    <int2:textHash int2:hashCode="P2dA88iZA5eyPG" int2:id="FWAIUyna">
      <int2:state int2:value="Rejected" int2:type="AugLoop_Text_Critique"/>
    </int2:textHash>
    <int2:textHash int2:hashCode="ZT8VfGqFWBhP4s" int2:id="q7GatVK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804"/>
    <w:multiLevelType w:val="hybridMultilevel"/>
    <w:tmpl w:val="91E0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ADE"/>
    <w:multiLevelType w:val="hybridMultilevel"/>
    <w:tmpl w:val="61BE161C"/>
    <w:lvl w:ilvl="0" w:tplc="B1208C7E">
      <w:start w:val="3"/>
      <w:numFmt w:val="decimal"/>
      <w:lvlText w:val="%1."/>
      <w:lvlJc w:val="left"/>
      <w:pPr>
        <w:ind w:left="720" w:hanging="360"/>
      </w:pPr>
    </w:lvl>
    <w:lvl w:ilvl="1" w:tplc="3DB22740">
      <w:start w:val="1"/>
      <w:numFmt w:val="lowerLetter"/>
      <w:lvlText w:val="%2."/>
      <w:lvlJc w:val="left"/>
      <w:pPr>
        <w:ind w:left="1440" w:hanging="360"/>
      </w:pPr>
    </w:lvl>
    <w:lvl w:ilvl="2" w:tplc="1080791C">
      <w:start w:val="1"/>
      <w:numFmt w:val="lowerRoman"/>
      <w:lvlText w:val="%3."/>
      <w:lvlJc w:val="right"/>
      <w:pPr>
        <w:ind w:left="2160" w:hanging="180"/>
      </w:pPr>
    </w:lvl>
    <w:lvl w:ilvl="3" w:tplc="AB881470">
      <w:start w:val="1"/>
      <w:numFmt w:val="decimal"/>
      <w:lvlText w:val="%4."/>
      <w:lvlJc w:val="left"/>
      <w:pPr>
        <w:ind w:left="2880" w:hanging="360"/>
      </w:pPr>
    </w:lvl>
    <w:lvl w:ilvl="4" w:tplc="8C087A98">
      <w:start w:val="1"/>
      <w:numFmt w:val="lowerLetter"/>
      <w:lvlText w:val="%5."/>
      <w:lvlJc w:val="left"/>
      <w:pPr>
        <w:ind w:left="3600" w:hanging="360"/>
      </w:pPr>
    </w:lvl>
    <w:lvl w:ilvl="5" w:tplc="851E4D04">
      <w:start w:val="1"/>
      <w:numFmt w:val="lowerRoman"/>
      <w:lvlText w:val="%6."/>
      <w:lvlJc w:val="right"/>
      <w:pPr>
        <w:ind w:left="4320" w:hanging="180"/>
      </w:pPr>
    </w:lvl>
    <w:lvl w:ilvl="6" w:tplc="19FE76DE">
      <w:start w:val="1"/>
      <w:numFmt w:val="decimal"/>
      <w:lvlText w:val="%7."/>
      <w:lvlJc w:val="left"/>
      <w:pPr>
        <w:ind w:left="5040" w:hanging="360"/>
      </w:pPr>
    </w:lvl>
    <w:lvl w:ilvl="7" w:tplc="B6463996">
      <w:start w:val="1"/>
      <w:numFmt w:val="lowerLetter"/>
      <w:lvlText w:val="%8."/>
      <w:lvlJc w:val="left"/>
      <w:pPr>
        <w:ind w:left="5760" w:hanging="360"/>
      </w:pPr>
    </w:lvl>
    <w:lvl w:ilvl="8" w:tplc="BC70B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723"/>
    <w:multiLevelType w:val="hybridMultilevel"/>
    <w:tmpl w:val="75AA6402"/>
    <w:lvl w:ilvl="0" w:tplc="17E035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12F"/>
    <w:multiLevelType w:val="hybridMultilevel"/>
    <w:tmpl w:val="1B60893E"/>
    <w:lvl w:ilvl="0" w:tplc="9738E44E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E574D"/>
    <w:multiLevelType w:val="hybridMultilevel"/>
    <w:tmpl w:val="0EC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34B"/>
    <w:multiLevelType w:val="multilevel"/>
    <w:tmpl w:val="415E0D0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EE55D7"/>
    <w:multiLevelType w:val="hybridMultilevel"/>
    <w:tmpl w:val="A356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60CC"/>
    <w:multiLevelType w:val="hybridMultilevel"/>
    <w:tmpl w:val="2BC4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545"/>
    <w:multiLevelType w:val="hybridMultilevel"/>
    <w:tmpl w:val="89167C86"/>
    <w:lvl w:ilvl="0" w:tplc="0809000F">
      <w:start w:val="1"/>
      <w:numFmt w:val="decimal"/>
      <w:lvlText w:val="%1."/>
      <w:lvlJc w:val="left"/>
      <w:pPr>
        <w:ind w:left="853" w:hanging="360"/>
      </w:p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DC10828"/>
    <w:multiLevelType w:val="multilevel"/>
    <w:tmpl w:val="308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43BBA"/>
    <w:multiLevelType w:val="multilevel"/>
    <w:tmpl w:val="289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585A4D"/>
    <w:multiLevelType w:val="hybridMultilevel"/>
    <w:tmpl w:val="2336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6489">
    <w:abstractNumId w:val="1"/>
  </w:num>
  <w:num w:numId="2" w16cid:durableId="300766512">
    <w:abstractNumId w:val="4"/>
  </w:num>
  <w:num w:numId="3" w16cid:durableId="579605418">
    <w:abstractNumId w:val="0"/>
  </w:num>
  <w:num w:numId="4" w16cid:durableId="277762234">
    <w:abstractNumId w:val="7"/>
  </w:num>
  <w:num w:numId="5" w16cid:durableId="1521510458">
    <w:abstractNumId w:val="11"/>
  </w:num>
  <w:num w:numId="6" w16cid:durableId="53360104">
    <w:abstractNumId w:val="3"/>
  </w:num>
  <w:num w:numId="7" w16cid:durableId="1997222632">
    <w:abstractNumId w:val="2"/>
  </w:num>
  <w:num w:numId="8" w16cid:durableId="1816489001">
    <w:abstractNumId w:val="6"/>
  </w:num>
  <w:num w:numId="9" w16cid:durableId="1787002030">
    <w:abstractNumId w:val="8"/>
  </w:num>
  <w:num w:numId="10" w16cid:durableId="1095975138">
    <w:abstractNumId w:val="9"/>
  </w:num>
  <w:num w:numId="11" w16cid:durableId="2051493620">
    <w:abstractNumId w:val="10"/>
  </w:num>
  <w:num w:numId="12" w16cid:durableId="922295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7"/>
    <w:rsid w:val="0003816A"/>
    <w:rsid w:val="001D518F"/>
    <w:rsid w:val="00301C91"/>
    <w:rsid w:val="0031350B"/>
    <w:rsid w:val="00321658"/>
    <w:rsid w:val="003321E0"/>
    <w:rsid w:val="00372567"/>
    <w:rsid w:val="00376A57"/>
    <w:rsid w:val="00432AB3"/>
    <w:rsid w:val="004E77F5"/>
    <w:rsid w:val="00576458"/>
    <w:rsid w:val="0058392F"/>
    <w:rsid w:val="006025D9"/>
    <w:rsid w:val="006B28DB"/>
    <w:rsid w:val="006E632B"/>
    <w:rsid w:val="00746FBE"/>
    <w:rsid w:val="007749A6"/>
    <w:rsid w:val="007C6897"/>
    <w:rsid w:val="007F4543"/>
    <w:rsid w:val="0081201B"/>
    <w:rsid w:val="008C7C47"/>
    <w:rsid w:val="008F69F1"/>
    <w:rsid w:val="00921C10"/>
    <w:rsid w:val="009446F9"/>
    <w:rsid w:val="00A51697"/>
    <w:rsid w:val="00A85A91"/>
    <w:rsid w:val="00A85BFE"/>
    <w:rsid w:val="00B31E8D"/>
    <w:rsid w:val="00BA1B81"/>
    <w:rsid w:val="00BD3DCF"/>
    <w:rsid w:val="00BF2567"/>
    <w:rsid w:val="00CC0081"/>
    <w:rsid w:val="00D0721A"/>
    <w:rsid w:val="00D94A8D"/>
    <w:rsid w:val="00DD5B94"/>
    <w:rsid w:val="00DD5F7D"/>
    <w:rsid w:val="00E475E4"/>
    <w:rsid w:val="00E84F57"/>
    <w:rsid w:val="00E91508"/>
    <w:rsid w:val="00F426D5"/>
    <w:rsid w:val="00F43903"/>
    <w:rsid w:val="00F4541E"/>
    <w:rsid w:val="00F64A5F"/>
    <w:rsid w:val="00F75EE3"/>
    <w:rsid w:val="00F87946"/>
    <w:rsid w:val="00FA2946"/>
    <w:rsid w:val="00FA6D20"/>
    <w:rsid w:val="00FC1834"/>
    <w:rsid w:val="00FF5053"/>
    <w:rsid w:val="01F598D5"/>
    <w:rsid w:val="022C2853"/>
    <w:rsid w:val="02869A40"/>
    <w:rsid w:val="03484151"/>
    <w:rsid w:val="0385FFCE"/>
    <w:rsid w:val="0521D02F"/>
    <w:rsid w:val="05483223"/>
    <w:rsid w:val="055AA928"/>
    <w:rsid w:val="05BE7F74"/>
    <w:rsid w:val="06A8CFE7"/>
    <w:rsid w:val="06D652F9"/>
    <w:rsid w:val="06D93214"/>
    <w:rsid w:val="0806A465"/>
    <w:rsid w:val="08117295"/>
    <w:rsid w:val="08BE1F81"/>
    <w:rsid w:val="09B33C35"/>
    <w:rsid w:val="0A391701"/>
    <w:rsid w:val="0AC6B441"/>
    <w:rsid w:val="0B8D4D3C"/>
    <w:rsid w:val="0C37AC31"/>
    <w:rsid w:val="0C903E0E"/>
    <w:rsid w:val="0CF2C8CF"/>
    <w:rsid w:val="0D3E2810"/>
    <w:rsid w:val="0DE977C8"/>
    <w:rsid w:val="0DFBAC26"/>
    <w:rsid w:val="0E5CB246"/>
    <w:rsid w:val="0ECEBBF7"/>
    <w:rsid w:val="0FEEF559"/>
    <w:rsid w:val="10333767"/>
    <w:rsid w:val="103B94F0"/>
    <w:rsid w:val="109FAD65"/>
    <w:rsid w:val="1179154E"/>
    <w:rsid w:val="127634E6"/>
    <w:rsid w:val="12A52AF6"/>
    <w:rsid w:val="12FC9F8C"/>
    <w:rsid w:val="155CF026"/>
    <w:rsid w:val="162C324C"/>
    <w:rsid w:val="16DB86AA"/>
    <w:rsid w:val="184AC9C3"/>
    <w:rsid w:val="186D553F"/>
    <w:rsid w:val="188613D9"/>
    <w:rsid w:val="18D13639"/>
    <w:rsid w:val="18FAC4B7"/>
    <w:rsid w:val="195598B9"/>
    <w:rsid w:val="19E69A24"/>
    <w:rsid w:val="1ABA4C32"/>
    <w:rsid w:val="1B0A9177"/>
    <w:rsid w:val="1D2D30E6"/>
    <w:rsid w:val="1EE3F95F"/>
    <w:rsid w:val="1EF71EC5"/>
    <w:rsid w:val="1F3AED5A"/>
    <w:rsid w:val="2005222E"/>
    <w:rsid w:val="205E904D"/>
    <w:rsid w:val="206787C5"/>
    <w:rsid w:val="20AE648E"/>
    <w:rsid w:val="20C47821"/>
    <w:rsid w:val="217AF913"/>
    <w:rsid w:val="217B01C8"/>
    <w:rsid w:val="21E98C00"/>
    <w:rsid w:val="22002304"/>
    <w:rsid w:val="22035826"/>
    <w:rsid w:val="224B455E"/>
    <w:rsid w:val="2278D91D"/>
    <w:rsid w:val="22D7EC99"/>
    <w:rsid w:val="2413753D"/>
    <w:rsid w:val="24C1F869"/>
    <w:rsid w:val="24D98307"/>
    <w:rsid w:val="251BEC04"/>
    <w:rsid w:val="2556F3BA"/>
    <w:rsid w:val="25CCD694"/>
    <w:rsid w:val="26B7BC65"/>
    <w:rsid w:val="26D7ED58"/>
    <w:rsid w:val="26DA19D1"/>
    <w:rsid w:val="27A391D2"/>
    <w:rsid w:val="27BC6762"/>
    <w:rsid w:val="27D1E58C"/>
    <w:rsid w:val="27DD1BAC"/>
    <w:rsid w:val="280AF19D"/>
    <w:rsid w:val="2835BE8E"/>
    <w:rsid w:val="2868DB13"/>
    <w:rsid w:val="28BEFFFC"/>
    <w:rsid w:val="29717E21"/>
    <w:rsid w:val="2978EC0D"/>
    <w:rsid w:val="29CA8568"/>
    <w:rsid w:val="2A828BF3"/>
    <w:rsid w:val="2B4FD94E"/>
    <w:rsid w:val="2BE9C2E3"/>
    <w:rsid w:val="2BFB67D7"/>
    <w:rsid w:val="2C56C93C"/>
    <w:rsid w:val="2C9FE163"/>
    <w:rsid w:val="2CB63746"/>
    <w:rsid w:val="2D244B93"/>
    <w:rsid w:val="2D73DA09"/>
    <w:rsid w:val="2E32ECBA"/>
    <w:rsid w:val="2E8A410D"/>
    <w:rsid w:val="2EA9A5ED"/>
    <w:rsid w:val="2F045271"/>
    <w:rsid w:val="2FEDB29F"/>
    <w:rsid w:val="3073294F"/>
    <w:rsid w:val="30E92257"/>
    <w:rsid w:val="30FBD157"/>
    <w:rsid w:val="317EBBEE"/>
    <w:rsid w:val="320FBD59"/>
    <w:rsid w:val="32F46C62"/>
    <w:rsid w:val="331A8C4F"/>
    <w:rsid w:val="333D4A05"/>
    <w:rsid w:val="3352B85D"/>
    <w:rsid w:val="34134770"/>
    <w:rsid w:val="34A820CE"/>
    <w:rsid w:val="34AAF348"/>
    <w:rsid w:val="34DE4602"/>
    <w:rsid w:val="3604BE8C"/>
    <w:rsid w:val="367EE702"/>
    <w:rsid w:val="36B3C7F9"/>
    <w:rsid w:val="3709699C"/>
    <w:rsid w:val="37A41CAE"/>
    <w:rsid w:val="37E2940A"/>
    <w:rsid w:val="397E646B"/>
    <w:rsid w:val="3989CDD3"/>
    <w:rsid w:val="39F7B53E"/>
    <w:rsid w:val="3A2B8CE5"/>
    <w:rsid w:val="3A3840F2"/>
    <w:rsid w:val="3A5A524B"/>
    <w:rsid w:val="3A8288F4"/>
    <w:rsid w:val="3ACC51AD"/>
    <w:rsid w:val="3CC27179"/>
    <w:rsid w:val="3D0A2EC2"/>
    <w:rsid w:val="3D3AB44D"/>
    <w:rsid w:val="3D990C7B"/>
    <w:rsid w:val="3DA8ECB0"/>
    <w:rsid w:val="3DBB67C2"/>
    <w:rsid w:val="3DC87C9D"/>
    <w:rsid w:val="3E35DC8D"/>
    <w:rsid w:val="3EA5FF23"/>
    <w:rsid w:val="3F117A63"/>
    <w:rsid w:val="4028A727"/>
    <w:rsid w:val="4102EA7E"/>
    <w:rsid w:val="419109E8"/>
    <w:rsid w:val="41CCAB98"/>
    <w:rsid w:val="41DD9FE5"/>
    <w:rsid w:val="427B553F"/>
    <w:rsid w:val="42D0DAD1"/>
    <w:rsid w:val="43550CF3"/>
    <w:rsid w:val="43797046"/>
    <w:rsid w:val="44265216"/>
    <w:rsid w:val="4480F03C"/>
    <w:rsid w:val="4486FDCD"/>
    <w:rsid w:val="449C4C1A"/>
    <w:rsid w:val="4627C695"/>
    <w:rsid w:val="4649C898"/>
    <w:rsid w:val="471780BD"/>
    <w:rsid w:val="472EEA92"/>
    <w:rsid w:val="483BA692"/>
    <w:rsid w:val="48457B23"/>
    <w:rsid w:val="489C43C3"/>
    <w:rsid w:val="49B1117D"/>
    <w:rsid w:val="4B3573A2"/>
    <w:rsid w:val="4CB90A1C"/>
    <w:rsid w:val="4E14157F"/>
    <w:rsid w:val="4E4261E8"/>
    <w:rsid w:val="4EC2FCB8"/>
    <w:rsid w:val="4EE07A21"/>
    <w:rsid w:val="4F645721"/>
    <w:rsid w:val="500955D9"/>
    <w:rsid w:val="5171024D"/>
    <w:rsid w:val="51EF52C5"/>
    <w:rsid w:val="52E786A2"/>
    <w:rsid w:val="539823CD"/>
    <w:rsid w:val="5454AE97"/>
    <w:rsid w:val="572C7469"/>
    <w:rsid w:val="57CC1D5D"/>
    <w:rsid w:val="57CE14C6"/>
    <w:rsid w:val="5862EA62"/>
    <w:rsid w:val="588C95F8"/>
    <w:rsid w:val="5899E46D"/>
    <w:rsid w:val="59458D4F"/>
    <w:rsid w:val="59BC92C8"/>
    <w:rsid w:val="59E6B6E3"/>
    <w:rsid w:val="5A5F745D"/>
    <w:rsid w:val="5A7F9534"/>
    <w:rsid w:val="5AF03636"/>
    <w:rsid w:val="5B6903F0"/>
    <w:rsid w:val="5B8D8D3C"/>
    <w:rsid w:val="5BAF6970"/>
    <w:rsid w:val="5CC781F8"/>
    <w:rsid w:val="5D1D11C5"/>
    <w:rsid w:val="5D732834"/>
    <w:rsid w:val="5DF58FB3"/>
    <w:rsid w:val="5E751BEA"/>
    <w:rsid w:val="5EBC13B2"/>
    <w:rsid w:val="5F5EC13A"/>
    <w:rsid w:val="5F8D6B4F"/>
    <w:rsid w:val="5FF5F825"/>
    <w:rsid w:val="600C2DC5"/>
    <w:rsid w:val="601FE6F9"/>
    <w:rsid w:val="6033524E"/>
    <w:rsid w:val="607CF6B2"/>
    <w:rsid w:val="60877BE3"/>
    <w:rsid w:val="60BF3972"/>
    <w:rsid w:val="60D449E4"/>
    <w:rsid w:val="615FA71C"/>
    <w:rsid w:val="61A7FE26"/>
    <w:rsid w:val="627D399F"/>
    <w:rsid w:val="63054A50"/>
    <w:rsid w:val="64029A5A"/>
    <w:rsid w:val="649F205F"/>
    <w:rsid w:val="65EA8382"/>
    <w:rsid w:val="65FAE87C"/>
    <w:rsid w:val="6708C074"/>
    <w:rsid w:val="677605F0"/>
    <w:rsid w:val="67BFE0B8"/>
    <w:rsid w:val="683B7F14"/>
    <w:rsid w:val="683E6433"/>
    <w:rsid w:val="694288BC"/>
    <w:rsid w:val="695BB119"/>
    <w:rsid w:val="699E5A1B"/>
    <w:rsid w:val="6AD0BD0C"/>
    <w:rsid w:val="6ADE591D"/>
    <w:rsid w:val="6AFDE37D"/>
    <w:rsid w:val="6CFE9BF8"/>
    <w:rsid w:val="6D34C3D4"/>
    <w:rsid w:val="6E2FC473"/>
    <w:rsid w:val="6EC142AC"/>
    <w:rsid w:val="6ED09435"/>
    <w:rsid w:val="6F7230B9"/>
    <w:rsid w:val="6F951044"/>
    <w:rsid w:val="6FA72C8A"/>
    <w:rsid w:val="7017569F"/>
    <w:rsid w:val="70206A0F"/>
    <w:rsid w:val="704A89B4"/>
    <w:rsid w:val="714A11FB"/>
    <w:rsid w:val="71728EE7"/>
    <w:rsid w:val="71EB4FFB"/>
    <w:rsid w:val="71ED33FF"/>
    <w:rsid w:val="72487918"/>
    <w:rsid w:val="72B883ED"/>
    <w:rsid w:val="72DD617E"/>
    <w:rsid w:val="72F5029E"/>
    <w:rsid w:val="7361DFD7"/>
    <w:rsid w:val="7377C3A5"/>
    <w:rsid w:val="73D23F70"/>
    <w:rsid w:val="7410D07D"/>
    <w:rsid w:val="741FAA94"/>
    <w:rsid w:val="7434DE44"/>
    <w:rsid w:val="7515B544"/>
    <w:rsid w:val="75D308D7"/>
    <w:rsid w:val="76A0A3D6"/>
    <w:rsid w:val="76C0A522"/>
    <w:rsid w:val="7733A69B"/>
    <w:rsid w:val="77AC4E97"/>
    <w:rsid w:val="77D9254B"/>
    <w:rsid w:val="7886A1AD"/>
    <w:rsid w:val="789776BB"/>
    <w:rsid w:val="79E9DC38"/>
    <w:rsid w:val="7A8640F8"/>
    <w:rsid w:val="7A8D2FD7"/>
    <w:rsid w:val="7B14698F"/>
    <w:rsid w:val="7B249DA8"/>
    <w:rsid w:val="7B4F1AA1"/>
    <w:rsid w:val="7B935BC0"/>
    <w:rsid w:val="7B9F7FAD"/>
    <w:rsid w:val="7BAE2D13"/>
    <w:rsid w:val="7BCF177D"/>
    <w:rsid w:val="7C1758BB"/>
    <w:rsid w:val="7CCD7823"/>
    <w:rsid w:val="7D2227B1"/>
    <w:rsid w:val="7D3B500E"/>
    <w:rsid w:val="7D4371AB"/>
    <w:rsid w:val="7D569691"/>
    <w:rsid w:val="7D84103B"/>
    <w:rsid w:val="7D99B691"/>
    <w:rsid w:val="7DC4D539"/>
    <w:rsid w:val="7DE172B6"/>
    <w:rsid w:val="7EC50370"/>
    <w:rsid w:val="7F226403"/>
    <w:rsid w:val="7FA6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6247"/>
  <w15:chartTrackingRefBased/>
  <w15:docId w15:val="{E48B7904-715A-4910-88A3-9648A78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F69F1"/>
    <w:pPr>
      <w:ind w:left="720"/>
      <w:contextualSpacing/>
    </w:pPr>
  </w:style>
  <w:style w:type="paragraph" w:customStyle="1" w:styleId="HayGroup11">
    <w:name w:val="Hay Group 11"/>
    <w:basedOn w:val="Normal"/>
    <w:link w:val="HayGroup11Char"/>
    <w:uiPriority w:val="99"/>
    <w:rsid w:val="00DD5F7D"/>
    <w:pPr>
      <w:spacing w:after="0" w:line="240" w:lineRule="auto"/>
    </w:pPr>
    <w:rPr>
      <w:rFonts w:ascii="Times New Roman" w:eastAsia="MS Mincho" w:hAnsi="Times New Roman" w:cs="Times New Roman"/>
      <w:szCs w:val="24"/>
      <w:lang w:val="en-US"/>
    </w:rPr>
  </w:style>
  <w:style w:type="character" w:customStyle="1" w:styleId="HayGroup11Char">
    <w:name w:val="Hay Group 11 Char"/>
    <w:basedOn w:val="DefaultParagraphFont"/>
    <w:link w:val="HayGroup11"/>
    <w:uiPriority w:val="99"/>
    <w:locked/>
    <w:rsid w:val="00DD5F7D"/>
    <w:rPr>
      <w:rFonts w:ascii="Times New Roman" w:eastAsia="MS Mincho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andaCooper xmlns="8ea04bae-3291-4711-a7ac-e1513a17bcca">
      <UserInfo>
        <DisplayName/>
        <AccountId xsi:nil="true"/>
        <AccountType/>
      </UserInfo>
    </AmandaCooper>
    <lcf76f155ced4ddcb4097134ff3c332f xmlns="8ea04bae-3291-4711-a7ac-e1513a17bcca">
      <Terms xmlns="http://schemas.microsoft.com/office/infopath/2007/PartnerControls"/>
    </lcf76f155ced4ddcb4097134ff3c332f>
    <TaxKeywordTaxHTField xmlns="65471207-853f-45fc-9399-1b014453c451">
      <Terms xmlns="http://schemas.microsoft.com/office/infopath/2007/PartnerControls"/>
    </TaxKeywordTaxHTField>
    <TaxCatchAll xmlns="65471207-853f-45fc-9399-1b014453c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05C747903FD4C95786E632336D8C3" ma:contentTypeVersion="19" ma:contentTypeDescription="Create a new document." ma:contentTypeScope="" ma:versionID="4ea1dbf9fd373a361d647c02ce0a12fe">
  <xsd:schema xmlns:xsd="http://www.w3.org/2001/XMLSchema" xmlns:xs="http://www.w3.org/2001/XMLSchema" xmlns:p="http://schemas.microsoft.com/office/2006/metadata/properties" xmlns:ns2="8ea04bae-3291-4711-a7ac-e1513a17bcca" xmlns:ns3="65471207-853f-45fc-9399-1b014453c451" targetNamespace="http://schemas.microsoft.com/office/2006/metadata/properties" ma:root="true" ma:fieldsID="cab95df9f252ddbf2942a6a67cbb0b23" ns2:_="" ns3:_="">
    <xsd:import namespace="8ea04bae-3291-4711-a7ac-e1513a17bcca"/>
    <xsd:import namespace="65471207-853f-45fc-9399-1b014453c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mandaCoo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4bae-3291-4711-a7ac-e1513a17b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198990-9524-4794-b0cb-4e66516f6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mandaCooper" ma:index="26" nillable="true" ma:displayName="Amanda Cooper" ma:format="Dropdown" ma:list="UserInfo" ma:SharePointGroup="0" ma:internalName="AmandaCoop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71207-853f-45fc-9399-1b014453c4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d198990-9524-4794-b0cb-4e66516f604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67d208-e00d-4232-aa91-3cbfaf93d324}" ma:internalName="TaxCatchAll" ma:showField="CatchAllData" ma:web="65471207-853f-45fc-9399-1b014453c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46923-E199-40AD-A1EB-94A99958A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D1629-DC05-4B7D-9280-E13E8AD30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7DEFF-0730-4287-879E-382A61429F38}"/>
</file>

<file path=docMetadata/LabelInfo.xml><?xml version="1.0" encoding="utf-8"?>
<clbl:labelList xmlns:clbl="http://schemas.microsoft.com/office/2020/mipLabelMetadata">
  <clbl:label id="{d4a38ddc-3e48-4d56-b85d-e70ec60674d7}" enabled="1" method="Standard" siteId="{98d94a17-1686-48bd-b712-87295b8149d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Guzel</dc:creator>
  <cp:keywords/>
  <dc:description/>
  <cp:lastModifiedBy>Gemma Dolby</cp:lastModifiedBy>
  <cp:revision>2</cp:revision>
  <dcterms:created xsi:type="dcterms:W3CDTF">2025-07-15T08:05:00Z</dcterms:created>
  <dcterms:modified xsi:type="dcterms:W3CDTF">2025-07-15T08:05:00Z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0x0101002F105C747903FD4C95786E632336D8C3</vt:lpwstr>
  </property>
  <property fmtid="{D5CDD505-2E9C-101B-9397-08002B2CF9AE}" pid="3" name="TaxKeyword">
    <vt:lpwstr/>
  </property>
</Properties>
</file>