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61" w:rsidRPr="00AB1F77" w:rsidRDefault="007169F7" w:rsidP="00097961">
      <w:pPr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Gambier House </w:t>
      </w:r>
      <w:r w:rsidR="00097961" w:rsidRPr="00AB1F77">
        <w:rPr>
          <w:rFonts w:ascii="Arial-BoldMT" w:hAnsi="Arial-BoldMT" w:cs="Arial-BoldMT"/>
          <w:b/>
          <w:bCs/>
        </w:rPr>
        <w:t>TMO</w:t>
      </w:r>
    </w:p>
    <w:p w:rsidR="005F6C3F" w:rsidRPr="00097961" w:rsidRDefault="005F6C3F">
      <w:pPr>
        <w:pStyle w:val="BodyText"/>
        <w:spacing w:before="1"/>
        <w:ind w:left="0" w:firstLine="0"/>
        <w:rPr>
          <w:rFonts w:ascii="Times New Roman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691"/>
      </w:tblGrid>
      <w:tr w:rsidR="005F6C3F" w:rsidRPr="005F6C3F" w:rsidTr="005F6C3F">
        <w:tc>
          <w:tcPr>
            <w:tcW w:w="2098" w:type="dxa"/>
            <w:shd w:val="clear" w:color="auto" w:fill="auto"/>
          </w:tcPr>
          <w:p w:rsidR="005F6C3F" w:rsidRPr="005F6C3F" w:rsidRDefault="002F6464" w:rsidP="005F6C3F">
            <w:pPr>
              <w:widowControl/>
              <w:adjustRightInd w:val="0"/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Organisation</w:t>
            </w:r>
          </w:p>
        </w:tc>
        <w:tc>
          <w:tcPr>
            <w:tcW w:w="6691" w:type="dxa"/>
            <w:shd w:val="clear" w:color="auto" w:fill="auto"/>
          </w:tcPr>
          <w:p w:rsidR="005F6C3F" w:rsidRPr="005F6C3F" w:rsidRDefault="00C2593D" w:rsidP="002F6464">
            <w:pPr>
              <w:spacing w:before="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Gambier House Estate (GHTMO</w:t>
            </w:r>
            <w:r w:rsidR="004C018C">
              <w:rPr>
                <w:rFonts w:ascii="Calibri" w:hAnsi="Calibri" w:cs="Calibri"/>
              </w:rPr>
              <w:t>)</w:t>
            </w:r>
          </w:p>
        </w:tc>
      </w:tr>
      <w:tr w:rsidR="002F6464" w:rsidRPr="005F6C3F" w:rsidTr="005F6C3F">
        <w:tc>
          <w:tcPr>
            <w:tcW w:w="2098" w:type="dxa"/>
            <w:shd w:val="clear" w:color="auto" w:fill="auto"/>
          </w:tcPr>
          <w:p w:rsidR="002F6464" w:rsidRPr="005F6C3F" w:rsidRDefault="0084167F" w:rsidP="002F6464">
            <w:pPr>
              <w:widowControl/>
              <w:adjustRightInd w:val="0"/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>
              <w:rPr>
                <w:rFonts w:asciiTheme="minorHAnsi" w:eastAsia="Times New Roman" w:hAnsiTheme="minorHAnsi" w:cstheme="minorHAnsi"/>
                <w:b/>
                <w:lang w:val="en-GB"/>
              </w:rPr>
              <w:t>Job Title</w:t>
            </w:r>
          </w:p>
        </w:tc>
        <w:tc>
          <w:tcPr>
            <w:tcW w:w="6691" w:type="dxa"/>
            <w:shd w:val="clear" w:color="auto" w:fill="auto"/>
          </w:tcPr>
          <w:p w:rsidR="002F6464" w:rsidRPr="005F6C3F" w:rsidRDefault="00BF36F8" w:rsidP="002F6464">
            <w:pPr>
              <w:widowControl/>
              <w:adjustRightInd w:val="0"/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Administration and Finance </w:t>
            </w:r>
            <w:r w:rsidR="002F6464" w:rsidRPr="005F6C3F">
              <w:rPr>
                <w:rFonts w:asciiTheme="minorHAnsi" w:hAnsiTheme="minorHAnsi" w:cstheme="minorHAnsi"/>
              </w:rPr>
              <w:t xml:space="preserve"> Manager</w:t>
            </w:r>
          </w:p>
        </w:tc>
      </w:tr>
      <w:tr w:rsidR="002F6464" w:rsidRPr="005F6C3F" w:rsidTr="005F6C3F">
        <w:tc>
          <w:tcPr>
            <w:tcW w:w="2098" w:type="dxa"/>
            <w:shd w:val="clear" w:color="auto" w:fill="auto"/>
          </w:tcPr>
          <w:p w:rsidR="002F6464" w:rsidRPr="005F6C3F" w:rsidRDefault="0084167F" w:rsidP="002F6464">
            <w:pPr>
              <w:widowControl/>
              <w:adjustRightInd w:val="0"/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>
              <w:rPr>
                <w:rFonts w:asciiTheme="minorHAnsi" w:eastAsia="Times New Roman" w:hAnsiTheme="minorHAnsi" w:cstheme="minorHAnsi"/>
                <w:b/>
                <w:lang w:val="en-GB"/>
              </w:rPr>
              <w:t>Grade/Salary</w:t>
            </w:r>
          </w:p>
        </w:tc>
        <w:tc>
          <w:tcPr>
            <w:tcW w:w="6691" w:type="dxa"/>
            <w:shd w:val="clear" w:color="auto" w:fill="auto"/>
          </w:tcPr>
          <w:p w:rsidR="002F6464" w:rsidRPr="005F6C3F" w:rsidRDefault="002F6464" w:rsidP="00750F66">
            <w:pPr>
              <w:widowControl/>
              <w:adjustRightInd w:val="0"/>
              <w:jc w:val="both"/>
              <w:rPr>
                <w:rFonts w:asciiTheme="minorHAnsi" w:eastAsia="Times New Roman" w:hAnsiTheme="minorHAnsi" w:cstheme="minorHAnsi"/>
                <w:color w:val="FF0000"/>
                <w:lang w:val="en-GB"/>
              </w:rPr>
            </w:pPr>
            <w:r w:rsidRPr="005F6C3F">
              <w:rPr>
                <w:rFonts w:asciiTheme="minorHAnsi" w:eastAsia="Times New Roman" w:hAnsiTheme="minorHAnsi" w:cstheme="minorHAnsi"/>
                <w:lang w:val="en-GB"/>
              </w:rPr>
              <w:t xml:space="preserve">£ </w:t>
            </w:r>
            <w:r w:rsidR="009A4136">
              <w:rPr>
                <w:rFonts w:asciiTheme="minorHAnsi" w:eastAsia="Times New Roman" w:hAnsiTheme="minorHAnsi" w:cstheme="minorHAnsi"/>
                <w:lang w:val="en-GB"/>
              </w:rPr>
              <w:t>43,000-45,000</w:t>
            </w:r>
            <w:r w:rsidR="00750F66">
              <w:rPr>
                <w:rFonts w:asciiTheme="minorHAnsi" w:eastAsia="Times New Roman" w:hAnsiTheme="minorHAnsi" w:cstheme="minorHAnsi"/>
                <w:lang w:val="en-GB"/>
              </w:rPr>
              <w:t xml:space="preserve"> per year</w:t>
            </w:r>
          </w:p>
        </w:tc>
      </w:tr>
      <w:tr w:rsidR="002F6464" w:rsidRPr="005F6C3F" w:rsidTr="005F6C3F">
        <w:tc>
          <w:tcPr>
            <w:tcW w:w="2098" w:type="dxa"/>
            <w:shd w:val="clear" w:color="auto" w:fill="auto"/>
          </w:tcPr>
          <w:p w:rsidR="002F6464" w:rsidRPr="005F6C3F" w:rsidRDefault="0084167F" w:rsidP="002F6464">
            <w:pPr>
              <w:widowControl/>
              <w:adjustRightInd w:val="0"/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>
              <w:rPr>
                <w:rFonts w:asciiTheme="minorHAnsi" w:eastAsia="Times New Roman" w:hAnsiTheme="minorHAnsi" w:cstheme="minorHAnsi"/>
                <w:b/>
                <w:lang w:val="en-GB"/>
              </w:rPr>
              <w:t>Reports to</w:t>
            </w:r>
            <w:r w:rsidR="002F6464" w:rsidRPr="005F6C3F">
              <w:rPr>
                <w:rFonts w:asciiTheme="minorHAnsi" w:eastAsia="Times New Roman" w:hAnsiTheme="minorHAnsi" w:cstheme="minorHAnsi"/>
                <w:lang w:val="en-GB"/>
              </w:rPr>
              <w:tab/>
            </w:r>
          </w:p>
        </w:tc>
        <w:tc>
          <w:tcPr>
            <w:tcW w:w="6691" w:type="dxa"/>
            <w:shd w:val="clear" w:color="auto" w:fill="auto"/>
          </w:tcPr>
          <w:p w:rsidR="002F6464" w:rsidRPr="005F6C3F" w:rsidRDefault="00C2593D" w:rsidP="002F6464">
            <w:pPr>
              <w:widowControl/>
              <w:adjustRightInd w:val="0"/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>
              <w:rPr>
                <w:rFonts w:asciiTheme="minorHAnsi" w:eastAsia="Times New Roman" w:hAnsiTheme="minorHAnsi" w:cstheme="minorHAnsi"/>
                <w:lang w:val="en-GB"/>
              </w:rPr>
              <w:t xml:space="preserve">Gambier House </w:t>
            </w:r>
            <w:r w:rsidR="002F6464" w:rsidRPr="005F6C3F">
              <w:rPr>
                <w:rFonts w:asciiTheme="minorHAnsi" w:eastAsia="Times New Roman" w:hAnsiTheme="minorHAnsi" w:cstheme="minorHAnsi"/>
                <w:lang w:val="en-GB"/>
              </w:rPr>
              <w:t xml:space="preserve"> Management Board</w:t>
            </w:r>
          </w:p>
        </w:tc>
      </w:tr>
      <w:tr w:rsidR="002F6464" w:rsidRPr="005F6C3F" w:rsidTr="005F6C3F">
        <w:tc>
          <w:tcPr>
            <w:tcW w:w="2098" w:type="dxa"/>
            <w:shd w:val="clear" w:color="auto" w:fill="auto"/>
          </w:tcPr>
          <w:p w:rsidR="002F6464" w:rsidRPr="005F6C3F" w:rsidRDefault="00BF36F8" w:rsidP="002F6464">
            <w:pPr>
              <w:widowControl/>
              <w:adjustRightInd w:val="0"/>
              <w:jc w:val="both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 xml:space="preserve">Hours </w:t>
            </w:r>
          </w:p>
        </w:tc>
        <w:tc>
          <w:tcPr>
            <w:tcW w:w="6691" w:type="dxa"/>
            <w:shd w:val="clear" w:color="auto" w:fill="auto"/>
          </w:tcPr>
          <w:p w:rsidR="002F6464" w:rsidRPr="00750F66" w:rsidRDefault="00750F66" w:rsidP="002F6464">
            <w:pPr>
              <w:widowControl/>
              <w:adjustRightInd w:val="0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750F66">
              <w:rPr>
                <w:rFonts w:asciiTheme="minorHAnsi" w:eastAsia="Times New Roman" w:hAnsiTheme="minorHAnsi" w:cstheme="minorHAnsi"/>
                <w:lang w:val="en-GB"/>
              </w:rPr>
              <w:t>9AM -5PM (</w:t>
            </w:r>
            <w:r>
              <w:rPr>
                <w:rFonts w:asciiTheme="minorHAnsi" w:eastAsia="Times New Roman" w:hAnsiTheme="minorHAnsi" w:cstheme="minorHAnsi"/>
                <w:lang w:val="en-GB"/>
              </w:rPr>
              <w:t xml:space="preserve">plus </w:t>
            </w:r>
            <w:r w:rsidRPr="00750F66">
              <w:rPr>
                <w:rFonts w:asciiTheme="minorHAnsi" w:eastAsia="Times New Roman" w:hAnsiTheme="minorHAnsi" w:cstheme="minorHAnsi"/>
                <w:lang w:val="en-GB"/>
              </w:rPr>
              <w:t xml:space="preserve">some evenings ) Monday to Friday - </w:t>
            </w:r>
            <w:r w:rsidR="00BF36F8" w:rsidRPr="00750F66">
              <w:rPr>
                <w:rFonts w:asciiTheme="minorHAnsi" w:eastAsia="Times New Roman" w:hAnsiTheme="minorHAnsi" w:cstheme="minorHAnsi"/>
                <w:lang w:val="en-GB"/>
              </w:rPr>
              <w:t xml:space="preserve">37 ½ per week </w:t>
            </w:r>
          </w:p>
        </w:tc>
      </w:tr>
    </w:tbl>
    <w:p w:rsidR="005F6C3F" w:rsidRPr="005F6C3F" w:rsidRDefault="005F6C3F" w:rsidP="005F6C3F">
      <w:pPr>
        <w:pStyle w:val="BodyText"/>
        <w:spacing w:before="1"/>
        <w:ind w:left="0" w:firstLine="0"/>
        <w:jc w:val="both"/>
        <w:rPr>
          <w:rFonts w:asciiTheme="minorHAnsi" w:hAnsiTheme="minorHAnsi" w:cstheme="minorHAnsi"/>
        </w:rPr>
      </w:pPr>
    </w:p>
    <w:p w:rsidR="005F6C3F" w:rsidRDefault="005F6C3F" w:rsidP="005F6C3F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bCs/>
          <w:lang w:val="en-GB"/>
        </w:rPr>
      </w:pPr>
      <w:r w:rsidRPr="005F6C3F">
        <w:rPr>
          <w:rFonts w:asciiTheme="minorHAnsi" w:eastAsia="Times New Roman" w:hAnsiTheme="minorHAnsi" w:cstheme="minorHAnsi"/>
          <w:b/>
          <w:bCs/>
          <w:lang w:val="en-GB"/>
        </w:rPr>
        <w:t>JOB SUMMARY</w:t>
      </w:r>
    </w:p>
    <w:p w:rsidR="0024410D" w:rsidRPr="0024410D" w:rsidRDefault="0024410D" w:rsidP="0024410D">
      <w:pPr>
        <w:widowControl/>
        <w:adjustRightInd w:val="0"/>
        <w:jc w:val="both"/>
        <w:rPr>
          <w:rFonts w:asciiTheme="minorHAnsi" w:eastAsia="Times New Roman" w:hAnsiTheme="minorHAnsi" w:cstheme="minorHAnsi"/>
          <w:bCs/>
          <w:lang w:val="en-GB"/>
        </w:rPr>
      </w:pPr>
      <w:r>
        <w:rPr>
          <w:rFonts w:asciiTheme="minorHAnsi" w:eastAsia="Times New Roman" w:hAnsiTheme="minorHAnsi" w:cstheme="minorHAnsi"/>
          <w:bCs/>
          <w:lang w:val="en-GB"/>
        </w:rPr>
        <w:t>We have an</w:t>
      </w:r>
      <w:r w:rsidRPr="0024410D">
        <w:rPr>
          <w:rFonts w:asciiTheme="minorHAnsi" w:eastAsia="Times New Roman" w:hAnsiTheme="minorHAnsi" w:cstheme="minorHAnsi"/>
          <w:bCs/>
          <w:lang w:val="en-GB"/>
        </w:rPr>
        <w:t xml:space="preserve"> exciting opportunity for an </w:t>
      </w:r>
      <w:r>
        <w:rPr>
          <w:rFonts w:asciiTheme="minorHAnsi" w:eastAsia="Times New Roman" w:hAnsiTheme="minorHAnsi" w:cstheme="minorHAnsi"/>
          <w:bCs/>
          <w:lang w:val="en-GB"/>
        </w:rPr>
        <w:t>‘Estate Manager’</w:t>
      </w:r>
      <w:r w:rsidRPr="0024410D">
        <w:rPr>
          <w:rFonts w:asciiTheme="minorHAnsi" w:eastAsia="Times New Roman" w:hAnsiTheme="minorHAnsi" w:cstheme="minorHAnsi"/>
          <w:bCs/>
          <w:lang w:val="en-GB"/>
        </w:rPr>
        <w:t xml:space="preserve"> with a proactive approach and a strong commitment to customer care. You will have the opportunity to make a genuine difference in the lives of the residents and to help shape a thriving estat</w:t>
      </w:r>
      <w:r w:rsidR="00B24DD9">
        <w:rPr>
          <w:rFonts w:asciiTheme="minorHAnsi" w:eastAsia="Times New Roman" w:hAnsiTheme="minorHAnsi" w:cstheme="minorHAnsi"/>
          <w:bCs/>
          <w:lang w:val="en-GB"/>
        </w:rPr>
        <w:t xml:space="preserve">e. </w:t>
      </w:r>
      <w:r w:rsidR="00C2593D">
        <w:rPr>
          <w:rFonts w:asciiTheme="minorHAnsi" w:eastAsia="Times New Roman" w:hAnsiTheme="minorHAnsi" w:cstheme="minorHAnsi"/>
          <w:bCs/>
          <w:lang w:val="en-GB"/>
        </w:rPr>
        <w:t>GHTMO</w:t>
      </w:r>
      <w:r w:rsidR="00B24DD9">
        <w:rPr>
          <w:rFonts w:asciiTheme="minorHAnsi" w:eastAsia="Times New Roman" w:hAnsiTheme="minorHAnsi" w:cstheme="minorHAnsi"/>
          <w:bCs/>
          <w:lang w:val="en-GB"/>
        </w:rPr>
        <w:t xml:space="preserve"> has </w:t>
      </w:r>
      <w:r w:rsidR="00C2593D">
        <w:rPr>
          <w:rFonts w:asciiTheme="minorHAnsi" w:eastAsia="Times New Roman" w:hAnsiTheme="minorHAnsi" w:cstheme="minorHAnsi"/>
          <w:bCs/>
          <w:lang w:val="en-GB"/>
        </w:rPr>
        <w:t>115</w:t>
      </w:r>
      <w:r w:rsidRPr="0024410D">
        <w:rPr>
          <w:rFonts w:asciiTheme="minorHAnsi" w:eastAsia="Times New Roman" w:hAnsiTheme="minorHAnsi" w:cstheme="minorHAnsi"/>
          <w:bCs/>
          <w:lang w:val="en-GB"/>
        </w:rPr>
        <w:t xml:space="preserve"> properties and is located in </w:t>
      </w:r>
      <w:r w:rsidR="00C2593D">
        <w:rPr>
          <w:rFonts w:asciiTheme="minorHAnsi" w:eastAsia="Times New Roman" w:hAnsiTheme="minorHAnsi" w:cstheme="minorHAnsi"/>
          <w:bCs/>
          <w:lang w:val="en-GB"/>
        </w:rPr>
        <w:t>Borough of Islington</w:t>
      </w:r>
      <w:r w:rsidRPr="0024410D">
        <w:rPr>
          <w:rFonts w:asciiTheme="minorHAnsi" w:eastAsia="Times New Roman" w:hAnsiTheme="minorHAnsi" w:cstheme="minorHAnsi"/>
          <w:bCs/>
          <w:lang w:val="en-GB"/>
        </w:rPr>
        <w:t xml:space="preserve">. </w:t>
      </w:r>
      <w:r>
        <w:rPr>
          <w:rFonts w:asciiTheme="minorHAnsi" w:eastAsia="Times New Roman" w:hAnsiTheme="minorHAnsi" w:cstheme="minorHAnsi"/>
          <w:bCs/>
          <w:lang w:val="en-GB"/>
        </w:rPr>
        <w:t xml:space="preserve"> </w:t>
      </w:r>
    </w:p>
    <w:p w:rsidR="0024410D" w:rsidRPr="005F6C3F" w:rsidRDefault="0024410D" w:rsidP="005F6C3F">
      <w:pPr>
        <w:widowControl/>
        <w:adjustRightInd w:val="0"/>
        <w:jc w:val="both"/>
        <w:rPr>
          <w:rFonts w:asciiTheme="minorHAnsi" w:eastAsia="Times New Roman" w:hAnsiTheme="minorHAnsi" w:cstheme="minorHAnsi"/>
          <w:b/>
          <w:bCs/>
          <w:lang w:val="en-GB"/>
        </w:rPr>
      </w:pPr>
    </w:p>
    <w:p w:rsidR="005F6C3F" w:rsidRPr="005F6C3F" w:rsidRDefault="005F6C3F" w:rsidP="005F6C3F">
      <w:pPr>
        <w:pStyle w:val="BodyText"/>
        <w:spacing w:before="1"/>
        <w:ind w:left="0" w:firstLine="0"/>
        <w:jc w:val="both"/>
        <w:rPr>
          <w:rFonts w:asciiTheme="minorHAnsi" w:hAnsiTheme="minorHAnsi" w:cstheme="minorHAnsi"/>
        </w:rPr>
      </w:pPr>
      <w:r w:rsidRPr="005F6C3F">
        <w:rPr>
          <w:rFonts w:asciiTheme="minorHAnsi" w:hAnsiTheme="minorHAnsi" w:cstheme="minorHAnsi"/>
        </w:rPr>
        <w:t>The Estate Manager will operate as the head of operations and the strategic lead for G</w:t>
      </w:r>
      <w:r w:rsidR="00C2593D">
        <w:rPr>
          <w:rFonts w:asciiTheme="minorHAnsi" w:hAnsiTheme="minorHAnsi" w:cstheme="minorHAnsi"/>
        </w:rPr>
        <w:t>H</w:t>
      </w:r>
      <w:r w:rsidRPr="005F6C3F">
        <w:rPr>
          <w:rFonts w:asciiTheme="minorHAnsi" w:hAnsiTheme="minorHAnsi" w:cstheme="minorHAnsi"/>
        </w:rPr>
        <w:t>TMO. The manager will be responsible for supporting the management board by ensuring the TMO’s framework, operations and decision-making processes are in line with statutory provisions, their management agreement and good practice guides in the housing</w:t>
      </w:r>
      <w:r w:rsidRPr="005F6C3F">
        <w:rPr>
          <w:rFonts w:asciiTheme="minorHAnsi" w:hAnsiTheme="minorHAnsi" w:cstheme="minorHAnsi"/>
          <w:spacing w:val="-7"/>
        </w:rPr>
        <w:t xml:space="preserve"> </w:t>
      </w:r>
      <w:r w:rsidRPr="005F6C3F">
        <w:rPr>
          <w:rFonts w:asciiTheme="minorHAnsi" w:hAnsiTheme="minorHAnsi" w:cstheme="minorHAnsi"/>
        </w:rPr>
        <w:t xml:space="preserve">industry. </w:t>
      </w:r>
    </w:p>
    <w:p w:rsidR="005F6C3F" w:rsidRPr="005F6C3F" w:rsidRDefault="005F6C3F" w:rsidP="005F6C3F">
      <w:pPr>
        <w:pStyle w:val="BodyText"/>
        <w:spacing w:before="1"/>
        <w:ind w:left="220" w:firstLine="0"/>
        <w:jc w:val="both"/>
        <w:rPr>
          <w:rFonts w:asciiTheme="minorHAnsi" w:hAnsiTheme="minorHAnsi" w:cstheme="minorHAnsi"/>
        </w:rPr>
      </w:pPr>
    </w:p>
    <w:p w:rsidR="005F6C3F" w:rsidRPr="005F6C3F" w:rsidRDefault="005F6C3F" w:rsidP="005F6C3F">
      <w:pPr>
        <w:pStyle w:val="BodyText"/>
        <w:spacing w:before="1"/>
        <w:ind w:left="0" w:firstLine="0"/>
        <w:jc w:val="both"/>
        <w:rPr>
          <w:rFonts w:asciiTheme="minorHAnsi" w:hAnsiTheme="minorHAnsi" w:cstheme="minorHAnsi"/>
        </w:rPr>
      </w:pPr>
      <w:r w:rsidRPr="005F6C3F">
        <w:rPr>
          <w:rFonts w:asciiTheme="minorHAnsi" w:hAnsiTheme="minorHAnsi" w:cstheme="minorHAnsi"/>
        </w:rPr>
        <w:t>The role involves</w:t>
      </w:r>
      <w:r w:rsidR="00ED60CA">
        <w:rPr>
          <w:rFonts w:asciiTheme="minorHAnsi" w:hAnsiTheme="minorHAnsi" w:cstheme="minorHAnsi"/>
        </w:rPr>
        <w:t>:</w:t>
      </w:r>
    </w:p>
    <w:p w:rsidR="005F6C3F" w:rsidRPr="005F6C3F" w:rsidRDefault="005F6C3F" w:rsidP="005F6C3F">
      <w:pPr>
        <w:pStyle w:val="BodyText"/>
        <w:spacing w:before="11"/>
        <w:ind w:left="0" w:firstLine="0"/>
        <w:jc w:val="both"/>
        <w:rPr>
          <w:rFonts w:asciiTheme="minorHAnsi" w:hAnsiTheme="minorHAnsi" w:cstheme="minorHAnsi"/>
        </w:rPr>
      </w:pPr>
    </w:p>
    <w:p w:rsidR="0024410D" w:rsidRPr="004B4C0A" w:rsidRDefault="002F6464" w:rsidP="004B4C0A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ind w:right="416"/>
        <w:jc w:val="both"/>
        <w:rPr>
          <w:rFonts w:asciiTheme="minorHAnsi" w:hAnsiTheme="minorHAnsi" w:cstheme="minorHAnsi"/>
        </w:rPr>
      </w:pPr>
      <w:r w:rsidRPr="00BF36F8">
        <w:rPr>
          <w:rFonts w:asciiTheme="minorHAnsi" w:hAnsiTheme="minorHAnsi" w:cstheme="minorHAnsi"/>
        </w:rPr>
        <w:t>E</w:t>
      </w:r>
      <w:r w:rsidR="005F6C3F" w:rsidRPr="00BF36F8">
        <w:rPr>
          <w:rFonts w:asciiTheme="minorHAnsi" w:hAnsiTheme="minorHAnsi" w:cstheme="minorHAnsi"/>
        </w:rPr>
        <w:t xml:space="preserve">nabling the provision of housing services delivery for residents living on the </w:t>
      </w:r>
      <w:r w:rsidR="00C2593D" w:rsidRPr="00BF36F8">
        <w:rPr>
          <w:rFonts w:asciiTheme="minorHAnsi" w:hAnsiTheme="minorHAnsi" w:cstheme="minorHAnsi"/>
        </w:rPr>
        <w:t>Gambier House</w:t>
      </w:r>
      <w:r w:rsidR="005F6C3F" w:rsidRPr="00BF36F8">
        <w:rPr>
          <w:rFonts w:asciiTheme="minorHAnsi" w:hAnsiTheme="minorHAnsi" w:cstheme="minorHAnsi"/>
        </w:rPr>
        <w:t xml:space="preserve"> estate in accordance with the policy and procedu</w:t>
      </w:r>
      <w:r w:rsidR="00BF36F8">
        <w:rPr>
          <w:rFonts w:asciiTheme="minorHAnsi" w:hAnsiTheme="minorHAnsi" w:cstheme="minorHAnsi"/>
        </w:rPr>
        <w:t>res in the management agreement</w:t>
      </w:r>
      <w:r w:rsidR="00C2593D" w:rsidRPr="00BF36F8">
        <w:rPr>
          <w:rFonts w:asciiTheme="minorHAnsi" w:hAnsiTheme="minorHAnsi" w:cstheme="minorHAnsi"/>
        </w:rPr>
        <w:t>.</w:t>
      </w:r>
    </w:p>
    <w:p w:rsidR="0024410D" w:rsidRPr="004B4C0A" w:rsidRDefault="002F6464" w:rsidP="0024410D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427"/>
        <w:jc w:val="both"/>
        <w:rPr>
          <w:rFonts w:asciiTheme="minorHAnsi" w:hAnsiTheme="minorHAnsi" w:cstheme="minorHAnsi"/>
        </w:rPr>
      </w:pPr>
      <w:r w:rsidRPr="005F6C3F">
        <w:rPr>
          <w:rFonts w:asciiTheme="minorHAnsi" w:hAnsiTheme="minorHAnsi" w:cstheme="minorHAnsi"/>
        </w:rPr>
        <w:t>Working</w:t>
      </w:r>
      <w:r w:rsidR="005F6C3F" w:rsidRPr="005F6C3F">
        <w:rPr>
          <w:rFonts w:asciiTheme="minorHAnsi" w:hAnsiTheme="minorHAnsi" w:cstheme="minorHAnsi"/>
        </w:rPr>
        <w:t xml:space="preserve"> in partnership with the board to deliver continuous improvement and value for money across all TMO managed and contracted</w:t>
      </w:r>
      <w:r w:rsidR="005F6C3F" w:rsidRPr="005F6C3F">
        <w:rPr>
          <w:rFonts w:asciiTheme="minorHAnsi" w:hAnsiTheme="minorHAnsi" w:cstheme="minorHAnsi"/>
          <w:spacing w:val="-14"/>
        </w:rPr>
        <w:t xml:space="preserve"> </w:t>
      </w:r>
      <w:r w:rsidR="005F6C3F" w:rsidRPr="005F6C3F">
        <w:rPr>
          <w:rFonts w:asciiTheme="minorHAnsi" w:hAnsiTheme="minorHAnsi" w:cstheme="minorHAnsi"/>
        </w:rPr>
        <w:t>services.</w:t>
      </w:r>
    </w:p>
    <w:p w:rsidR="005F6C3F" w:rsidRPr="001D07A0" w:rsidRDefault="002F6464" w:rsidP="001D07A0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867"/>
        <w:jc w:val="both"/>
        <w:rPr>
          <w:rFonts w:asciiTheme="minorHAnsi" w:hAnsiTheme="minorHAnsi" w:cstheme="minorHAnsi"/>
        </w:rPr>
      </w:pPr>
      <w:r w:rsidRPr="005F6C3F">
        <w:rPr>
          <w:rFonts w:asciiTheme="minorHAnsi" w:hAnsiTheme="minorHAnsi" w:cstheme="minorHAnsi"/>
        </w:rPr>
        <w:t>Supporting</w:t>
      </w:r>
      <w:r w:rsidR="005F6C3F" w:rsidRPr="005F6C3F">
        <w:rPr>
          <w:rFonts w:asciiTheme="minorHAnsi" w:hAnsiTheme="minorHAnsi" w:cstheme="minorHAnsi"/>
        </w:rPr>
        <w:t xml:space="preserve"> the board in the management and review of all contracts and service level agreements relating to the above</w:t>
      </w:r>
      <w:r w:rsidR="005F6C3F" w:rsidRPr="005F6C3F">
        <w:rPr>
          <w:rFonts w:asciiTheme="minorHAnsi" w:hAnsiTheme="minorHAnsi" w:cstheme="minorHAnsi"/>
          <w:spacing w:val="-7"/>
        </w:rPr>
        <w:t xml:space="preserve"> </w:t>
      </w:r>
      <w:r w:rsidR="005F6C3F" w:rsidRPr="005F6C3F">
        <w:rPr>
          <w:rFonts w:asciiTheme="minorHAnsi" w:hAnsiTheme="minorHAnsi" w:cstheme="minorHAnsi"/>
        </w:rPr>
        <w:t>services.</w:t>
      </w:r>
    </w:p>
    <w:p w:rsidR="00721B4F" w:rsidRDefault="00D350AE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 w:rsidRPr="00BF36F8">
        <w:rPr>
          <w:rFonts w:ascii="Calibri" w:hAnsi="Calibri" w:cs="Calibri"/>
        </w:rPr>
        <w:t>Effectively supporting and advising the TMO board in negotiations with the Council relating to the management</w:t>
      </w:r>
      <w:r w:rsidRPr="00BF36F8">
        <w:rPr>
          <w:rFonts w:ascii="Calibri" w:hAnsi="Calibri" w:cs="Calibri"/>
          <w:spacing w:val="-6"/>
        </w:rPr>
        <w:t xml:space="preserve"> </w:t>
      </w:r>
      <w:r w:rsidRPr="00BF36F8">
        <w:rPr>
          <w:rFonts w:ascii="Calibri" w:hAnsi="Calibri" w:cs="Calibri"/>
        </w:rPr>
        <w:t>agreement.</w:t>
      </w:r>
    </w:p>
    <w:p w:rsidR="00BF36F8" w:rsidRDefault="00BF36F8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Run the day-to day  tenants repair reporting system</w:t>
      </w:r>
    </w:p>
    <w:p w:rsidR="00BF36F8" w:rsidRDefault="00BF36F8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an effective, efficient and resident friendly tenancy </w:t>
      </w:r>
      <w:r w:rsidR="00593F09">
        <w:rPr>
          <w:rFonts w:ascii="Calibri" w:hAnsi="Calibri" w:cs="Calibri"/>
        </w:rPr>
        <w:t>management</w:t>
      </w:r>
      <w:r>
        <w:rPr>
          <w:rFonts w:ascii="Calibri" w:hAnsi="Calibri" w:cs="Calibri"/>
        </w:rPr>
        <w:t xml:space="preserve"> services, including responding to feedback and compl</w:t>
      </w:r>
      <w:r w:rsidR="00593F0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ints </w:t>
      </w:r>
    </w:p>
    <w:p w:rsidR="00593F09" w:rsidRDefault="00593F09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Undertake regular estate inspections</w:t>
      </w:r>
    </w:p>
    <w:p w:rsidR="00593F09" w:rsidRDefault="00593F09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Manage and motivate employees within the team, ensuring they are trained in the performance of their duties.</w:t>
      </w:r>
    </w:p>
    <w:p w:rsidR="00593F09" w:rsidRDefault="00CA0F14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Oversee the day-to-day management of the TMO finances managing the part time bookkeeper and working with the Treasure</w:t>
      </w:r>
      <w:r w:rsidR="007169F7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 and Board to ex</w:t>
      </w:r>
      <w:r w:rsidR="004B4C0A">
        <w:rPr>
          <w:rFonts w:ascii="Calibri" w:hAnsi="Calibri" w:cs="Calibri"/>
        </w:rPr>
        <w:t>ercise strong financial control</w:t>
      </w:r>
      <w:r>
        <w:rPr>
          <w:rFonts w:ascii="Calibri" w:hAnsi="Calibri" w:cs="Calibri"/>
        </w:rPr>
        <w:t>.</w:t>
      </w:r>
    </w:p>
    <w:p w:rsidR="00CA0F14" w:rsidRDefault="00CA0F14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</w:t>
      </w:r>
      <w:r w:rsidR="00DC74D5">
        <w:rPr>
          <w:rFonts w:ascii="Calibri" w:hAnsi="Calibri" w:cs="Calibri"/>
        </w:rPr>
        <w:t>assist</w:t>
      </w:r>
      <w:r>
        <w:rPr>
          <w:rFonts w:ascii="Calibri" w:hAnsi="Calibri" w:cs="Calibri"/>
        </w:rPr>
        <w:t xml:space="preserve"> in the day-to-day running of the Betty Brunker </w:t>
      </w:r>
      <w:r w:rsidR="00DC74D5">
        <w:rPr>
          <w:rFonts w:ascii="Calibri" w:hAnsi="Calibri" w:cs="Calibri"/>
        </w:rPr>
        <w:t>Community</w:t>
      </w:r>
      <w:r>
        <w:rPr>
          <w:rFonts w:ascii="Calibri" w:hAnsi="Calibri" w:cs="Calibri"/>
        </w:rPr>
        <w:t xml:space="preserve"> Hall</w:t>
      </w:r>
    </w:p>
    <w:p w:rsidR="00CA0F14" w:rsidRDefault="00CA0F14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Undertake analysis and produce clear and speci</w:t>
      </w:r>
      <w:r w:rsidR="006F3824">
        <w:rPr>
          <w:rFonts w:ascii="Calibri" w:hAnsi="Calibri" w:cs="Calibri"/>
        </w:rPr>
        <w:t>fi</w:t>
      </w:r>
      <w:r>
        <w:rPr>
          <w:rFonts w:ascii="Calibri" w:hAnsi="Calibri" w:cs="Calibri"/>
        </w:rPr>
        <w:t>c report</w:t>
      </w:r>
      <w:r w:rsidR="006F382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for the Board</w:t>
      </w:r>
    </w:p>
    <w:p w:rsidR="00CA0F14" w:rsidRDefault="00CA0F14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Ensure effective procurement </w:t>
      </w:r>
      <w:r w:rsidR="006F3824">
        <w:rPr>
          <w:rFonts w:ascii="Calibri" w:hAnsi="Calibri" w:cs="Calibri"/>
        </w:rPr>
        <w:t xml:space="preserve">of professional services </w:t>
      </w:r>
      <w:r>
        <w:rPr>
          <w:rFonts w:ascii="Calibri" w:hAnsi="Calibri" w:cs="Calibri"/>
        </w:rPr>
        <w:t>as and when required or directed by the Board</w:t>
      </w:r>
    </w:p>
    <w:p w:rsidR="00CA0F14" w:rsidRPr="00BF36F8" w:rsidRDefault="00CA0F14" w:rsidP="00BF36F8">
      <w:pPr>
        <w:pStyle w:val="ListParagraph"/>
        <w:numPr>
          <w:ilvl w:val="0"/>
          <w:numId w:val="2"/>
        </w:numPr>
        <w:tabs>
          <w:tab w:val="left" w:pos="941"/>
        </w:tabs>
        <w:ind w:right="6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Work within the guidelines of Fire Safety, Health and Safety policies and procedures </w:t>
      </w:r>
    </w:p>
    <w:p w:rsidR="00B10775" w:rsidRPr="00B10775" w:rsidRDefault="00B10775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</w:rPr>
      </w:pPr>
    </w:p>
    <w:p w:rsidR="00721B4F" w:rsidRDefault="00D350AE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  <w:r w:rsidRPr="00B10775">
        <w:rPr>
          <w:rFonts w:asciiTheme="minorHAnsi" w:hAnsiTheme="minorHAnsi" w:cstheme="minorHAnsi"/>
          <w:b/>
        </w:rPr>
        <w:t xml:space="preserve">It is a requirement that the post holder will </w:t>
      </w:r>
      <w:r w:rsidR="00C1648B" w:rsidRPr="00B10775">
        <w:rPr>
          <w:rFonts w:asciiTheme="minorHAnsi" w:hAnsiTheme="minorHAnsi" w:cstheme="minorHAnsi"/>
          <w:b/>
        </w:rPr>
        <w:t xml:space="preserve">be required to </w:t>
      </w:r>
      <w:r w:rsidRPr="00B10775">
        <w:rPr>
          <w:rFonts w:asciiTheme="minorHAnsi" w:hAnsiTheme="minorHAnsi" w:cstheme="minorHAnsi"/>
          <w:b/>
        </w:rPr>
        <w:t xml:space="preserve">undertake a </w:t>
      </w:r>
      <w:r w:rsidR="005F6C3F" w:rsidRPr="00B10775">
        <w:rPr>
          <w:rFonts w:asciiTheme="minorHAnsi" w:hAnsiTheme="minorHAnsi" w:cstheme="minorHAnsi"/>
          <w:b/>
        </w:rPr>
        <w:t xml:space="preserve">DBS </w:t>
      </w:r>
      <w:r w:rsidRPr="00B10775">
        <w:rPr>
          <w:rFonts w:asciiTheme="minorHAnsi" w:hAnsiTheme="minorHAnsi" w:cstheme="minorHAnsi"/>
          <w:b/>
        </w:rPr>
        <w:t>check</w:t>
      </w: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50F66" w:rsidRDefault="00750F66" w:rsidP="00B10775">
      <w:pPr>
        <w:pStyle w:val="ListParagraph"/>
        <w:tabs>
          <w:tab w:val="left" w:pos="941"/>
        </w:tabs>
        <w:spacing w:before="10"/>
        <w:ind w:left="0" w:right="966" w:firstLine="0"/>
        <w:jc w:val="both"/>
        <w:rPr>
          <w:rFonts w:asciiTheme="minorHAnsi" w:hAnsiTheme="minorHAnsi" w:cstheme="minorHAnsi"/>
          <w:b/>
        </w:rPr>
      </w:pPr>
    </w:p>
    <w:p w:rsidR="00721B4F" w:rsidRPr="00C1648B" w:rsidRDefault="00097961">
      <w:pPr>
        <w:ind w:left="218"/>
        <w:rPr>
          <w:rFonts w:ascii="Calibri" w:hAnsi="Calibri" w:cs="Calibri"/>
          <w:b/>
        </w:rPr>
      </w:pPr>
      <w:r w:rsidRPr="00C1648B">
        <w:rPr>
          <w:rFonts w:ascii="Calibri" w:hAnsi="Calibri" w:cs="Calibri"/>
          <w:b/>
        </w:rPr>
        <w:t xml:space="preserve">PERSON SPECIFICATION </w:t>
      </w:r>
    </w:p>
    <w:p w:rsidR="00721B4F" w:rsidRPr="00C1648B" w:rsidRDefault="00721B4F">
      <w:pPr>
        <w:pStyle w:val="BodyText"/>
        <w:spacing w:before="2"/>
        <w:ind w:left="0" w:firstLine="0"/>
        <w:rPr>
          <w:rFonts w:ascii="Calibri" w:hAnsi="Calibri" w:cs="Calibri"/>
          <w:b/>
        </w:rPr>
      </w:pPr>
    </w:p>
    <w:p w:rsidR="00721B4F" w:rsidRPr="00750F66" w:rsidRDefault="00D350AE">
      <w:pPr>
        <w:spacing w:before="1"/>
        <w:ind w:left="218" w:right="7354"/>
        <w:rPr>
          <w:rFonts w:ascii="Calibri" w:hAnsi="Calibri" w:cs="Calibri"/>
        </w:rPr>
      </w:pPr>
      <w:r w:rsidRPr="00750F66">
        <w:rPr>
          <w:rFonts w:ascii="Calibri" w:hAnsi="Calibri" w:cs="Calibri"/>
        </w:rPr>
        <w:t>E = Essential D = Desirable</w:t>
      </w:r>
    </w:p>
    <w:p w:rsidR="00721B4F" w:rsidRPr="00750F66" w:rsidRDefault="00D350AE">
      <w:pPr>
        <w:spacing w:line="228" w:lineRule="exact"/>
        <w:ind w:left="218"/>
        <w:rPr>
          <w:rFonts w:ascii="Calibri" w:hAnsi="Calibri" w:cs="Calibri"/>
        </w:rPr>
      </w:pPr>
      <w:r w:rsidRPr="00750F66">
        <w:rPr>
          <w:rFonts w:ascii="Calibri" w:hAnsi="Calibri" w:cs="Calibri"/>
        </w:rPr>
        <w:t>I = Assessed at Interview</w:t>
      </w:r>
    </w:p>
    <w:p w:rsidR="00721B4F" w:rsidRPr="00750F66" w:rsidRDefault="00721B4F">
      <w:pPr>
        <w:pStyle w:val="BodyText"/>
        <w:spacing w:before="5"/>
        <w:ind w:left="0" w:firstLine="0"/>
        <w:rPr>
          <w:rFonts w:ascii="Calibri" w:hAnsi="Calibri" w:cs="Calibri"/>
        </w:rPr>
      </w:pPr>
    </w:p>
    <w:tbl>
      <w:tblPr>
        <w:tblW w:w="923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8146"/>
        <w:gridCol w:w="567"/>
      </w:tblGrid>
      <w:tr w:rsidR="00721B4F" w:rsidRPr="00C1648B" w:rsidTr="00C1648B">
        <w:trPr>
          <w:trHeight w:val="251"/>
        </w:trPr>
        <w:tc>
          <w:tcPr>
            <w:tcW w:w="9236" w:type="dxa"/>
            <w:gridSpan w:val="3"/>
          </w:tcPr>
          <w:p w:rsidR="00721B4F" w:rsidRPr="00C1648B" w:rsidRDefault="00D350AE">
            <w:pPr>
              <w:pStyle w:val="TableParagraph"/>
              <w:ind w:left="107"/>
              <w:rPr>
                <w:rFonts w:ascii="Calibri" w:hAnsi="Calibri" w:cs="Calibri"/>
                <w:b/>
              </w:rPr>
            </w:pPr>
            <w:r w:rsidRPr="00C1648B">
              <w:rPr>
                <w:rFonts w:ascii="Calibri" w:hAnsi="Calibri" w:cs="Calibri"/>
                <w:b/>
              </w:rPr>
              <w:t>Experience</w:t>
            </w:r>
          </w:p>
        </w:tc>
      </w:tr>
      <w:tr w:rsidR="00DC74D5" w:rsidRPr="00DC74D5" w:rsidTr="004C018C">
        <w:trPr>
          <w:trHeight w:val="506"/>
        </w:trPr>
        <w:tc>
          <w:tcPr>
            <w:tcW w:w="523" w:type="dxa"/>
          </w:tcPr>
          <w:p w:rsidR="00721B4F" w:rsidRPr="00C1648B" w:rsidRDefault="004B4C0A">
            <w:pPr>
              <w:pStyle w:val="TableParagraph"/>
              <w:spacing w:line="250" w:lineRule="exact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146" w:type="dxa"/>
          </w:tcPr>
          <w:p w:rsidR="004B4C0A" w:rsidRPr="00C1648B" w:rsidRDefault="004B4C0A" w:rsidP="004B4C0A">
            <w:pPr>
              <w:pStyle w:val="TableParagraph"/>
              <w:spacing w:line="248" w:lineRule="exact"/>
              <w:ind w:left="105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 xml:space="preserve">Experience of working for a Tenant Management </w:t>
            </w:r>
            <w:proofErr w:type="spellStart"/>
            <w:r w:rsidRPr="00C1648B">
              <w:rPr>
                <w:rFonts w:ascii="Calibri" w:hAnsi="Calibri" w:cs="Calibri"/>
              </w:rPr>
              <w:t>Organisations</w:t>
            </w:r>
            <w:proofErr w:type="spellEnd"/>
            <w:r w:rsidRPr="00C1648B">
              <w:rPr>
                <w:rFonts w:ascii="Calibri" w:hAnsi="Calibri" w:cs="Calibri"/>
              </w:rPr>
              <w:t>, or other</w:t>
            </w:r>
            <w:r>
              <w:rPr>
                <w:rFonts w:ascii="Calibri" w:hAnsi="Calibri" w:cs="Calibri"/>
              </w:rPr>
              <w:t xml:space="preserve"> housing </w:t>
            </w:r>
          </w:p>
          <w:p w:rsidR="00721B4F" w:rsidRPr="00C1648B" w:rsidRDefault="004B4C0A" w:rsidP="004B4C0A">
            <w:pPr>
              <w:pStyle w:val="TableParagraph"/>
              <w:spacing w:line="254" w:lineRule="exact"/>
              <w:ind w:left="105" w:right="827"/>
              <w:rPr>
                <w:rFonts w:ascii="Calibri" w:hAnsi="Calibri" w:cs="Calibri"/>
              </w:rPr>
            </w:pPr>
            <w:proofErr w:type="spellStart"/>
            <w:r w:rsidRPr="00C1648B">
              <w:rPr>
                <w:rFonts w:ascii="Calibri" w:hAnsi="Calibri" w:cs="Calibri"/>
              </w:rPr>
              <w:t>Organisations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</w:tcPr>
          <w:p w:rsidR="00721B4F" w:rsidRPr="00247F34" w:rsidRDefault="00D350AE">
            <w:pPr>
              <w:pStyle w:val="TableParagraph"/>
              <w:spacing w:line="250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C1648B" w:rsidRPr="00247F34">
              <w:rPr>
                <w:rFonts w:ascii="Calibri" w:hAnsi="Calibri" w:cs="Calibri"/>
              </w:rPr>
              <w:t>,</w:t>
            </w:r>
            <w:r w:rsidR="004B4C0A" w:rsidRPr="00247F34">
              <w:rPr>
                <w:rFonts w:ascii="Calibri" w:hAnsi="Calibri" w:cs="Calibri"/>
              </w:rPr>
              <w:t>D,</w:t>
            </w:r>
          </w:p>
        </w:tc>
      </w:tr>
      <w:tr w:rsidR="00DC74D5" w:rsidRPr="00DC74D5" w:rsidTr="004C018C">
        <w:trPr>
          <w:trHeight w:val="777"/>
        </w:trPr>
        <w:tc>
          <w:tcPr>
            <w:tcW w:w="523" w:type="dxa"/>
          </w:tcPr>
          <w:p w:rsidR="00721B4F" w:rsidRPr="00C1648B" w:rsidRDefault="00D350AE">
            <w:pPr>
              <w:pStyle w:val="TableParagraph"/>
              <w:spacing w:line="248" w:lineRule="exact"/>
              <w:ind w:left="107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>2</w:t>
            </w:r>
          </w:p>
        </w:tc>
        <w:tc>
          <w:tcPr>
            <w:tcW w:w="8146" w:type="dxa"/>
          </w:tcPr>
          <w:p w:rsidR="00721B4F" w:rsidRPr="00C1648B" w:rsidRDefault="00D350AE" w:rsidP="00DC74D5">
            <w:pPr>
              <w:pStyle w:val="TableParagraph"/>
              <w:spacing w:line="240" w:lineRule="auto"/>
              <w:ind w:left="105" w:right="105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 xml:space="preserve">At least 3 </w:t>
            </w:r>
            <w:r w:rsidR="002F6464" w:rsidRPr="00C1648B">
              <w:rPr>
                <w:rFonts w:ascii="Calibri" w:hAnsi="Calibri" w:cs="Calibri"/>
              </w:rPr>
              <w:t>years’ experience</w:t>
            </w:r>
            <w:r w:rsidRPr="00C1648B">
              <w:rPr>
                <w:rFonts w:ascii="Calibri" w:hAnsi="Calibri" w:cs="Calibri"/>
              </w:rPr>
              <w:t xml:space="preserve"> of managing social housing services such as repairs, tenancy and leasehold management,</w:t>
            </w:r>
            <w:r w:rsidR="004B4C0A">
              <w:rPr>
                <w:rFonts w:ascii="Calibri" w:hAnsi="Calibri" w:cs="Calibri"/>
              </w:rPr>
              <w:t xml:space="preserve"> supporting ASB cases, </w:t>
            </w:r>
            <w:r w:rsidRPr="00C1648B">
              <w:rPr>
                <w:rFonts w:ascii="Calibri" w:hAnsi="Calibri" w:cs="Calibri"/>
              </w:rPr>
              <w:t xml:space="preserve"> income management,  resident involvement and customer</w:t>
            </w:r>
            <w:r w:rsidR="004C018C">
              <w:rPr>
                <w:rFonts w:ascii="Calibri" w:hAnsi="Calibri" w:cs="Calibri"/>
              </w:rPr>
              <w:t xml:space="preserve"> </w:t>
            </w:r>
            <w:r w:rsidRPr="00C1648B">
              <w:rPr>
                <w:rFonts w:ascii="Calibri" w:hAnsi="Calibri" w:cs="Calibri"/>
              </w:rPr>
              <w:t>services.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spacing w:line="248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C1648B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816"/>
        </w:trPr>
        <w:tc>
          <w:tcPr>
            <w:tcW w:w="523" w:type="dxa"/>
          </w:tcPr>
          <w:p w:rsidR="00C1648B" w:rsidRPr="00C1648B" w:rsidRDefault="00C1648B">
            <w:pPr>
              <w:pStyle w:val="TableParagraph"/>
              <w:spacing w:line="248" w:lineRule="exact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146" w:type="dxa"/>
          </w:tcPr>
          <w:p w:rsidR="00C1648B" w:rsidRPr="00C1648B" w:rsidRDefault="00C1648B">
            <w:pPr>
              <w:pStyle w:val="TableParagraph"/>
              <w:spacing w:line="240" w:lineRule="auto"/>
              <w:ind w:left="105" w:right="105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>To hold Chartered Institute of Housing level 4 qualification, a Housing degree or similar professional qualification, or to demonstrate relevant experience to attain the breadth of knowledge or a willingness to obtain such qualifications</w:t>
            </w:r>
            <w:r w:rsidR="004C018C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</w:tcPr>
          <w:p w:rsidR="00C1648B" w:rsidRPr="00247F34" w:rsidRDefault="00750F66">
            <w:pPr>
              <w:pStyle w:val="TableParagraph"/>
              <w:spacing w:line="248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E,D</w:t>
            </w:r>
          </w:p>
        </w:tc>
      </w:tr>
      <w:tr w:rsidR="00DC74D5" w:rsidRPr="00DC74D5" w:rsidTr="004C018C">
        <w:trPr>
          <w:trHeight w:val="251"/>
        </w:trPr>
        <w:tc>
          <w:tcPr>
            <w:tcW w:w="523" w:type="dxa"/>
          </w:tcPr>
          <w:p w:rsidR="00721B4F" w:rsidRPr="00C1648B" w:rsidRDefault="00750F66">
            <w:pPr>
              <w:pStyle w:val="TableParagraph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146" w:type="dxa"/>
          </w:tcPr>
          <w:p w:rsidR="00721B4F" w:rsidRPr="00C1648B" w:rsidRDefault="00D350AE">
            <w:pPr>
              <w:pStyle w:val="TableParagraph"/>
              <w:ind w:left="105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>Experience of devising budgets and preparing annual accounts for audit.</w:t>
            </w:r>
          </w:p>
        </w:tc>
        <w:tc>
          <w:tcPr>
            <w:tcW w:w="567" w:type="dxa"/>
          </w:tcPr>
          <w:p w:rsidR="00721B4F" w:rsidRPr="00247F34" w:rsidRDefault="00750F66">
            <w:pPr>
              <w:pStyle w:val="TableParagraph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E,D</w:t>
            </w:r>
          </w:p>
        </w:tc>
      </w:tr>
      <w:tr w:rsidR="00DC74D5" w:rsidRPr="00DC74D5" w:rsidTr="004C018C">
        <w:trPr>
          <w:trHeight w:val="251"/>
        </w:trPr>
        <w:tc>
          <w:tcPr>
            <w:tcW w:w="523" w:type="dxa"/>
          </w:tcPr>
          <w:p w:rsidR="00721B4F" w:rsidRPr="00C1648B" w:rsidRDefault="00750F66">
            <w:pPr>
              <w:pStyle w:val="TableParagraph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146" w:type="dxa"/>
          </w:tcPr>
          <w:p w:rsidR="00721B4F" w:rsidRPr="00C1648B" w:rsidRDefault="00D350AE">
            <w:pPr>
              <w:pStyle w:val="TableParagraph"/>
              <w:ind w:left="105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>Experience of managing and monitoring budgets</w:t>
            </w:r>
            <w:r w:rsidR="004C018C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</w:tcPr>
          <w:p w:rsidR="00721B4F" w:rsidRPr="00247F34" w:rsidRDefault="00D350AE">
            <w:pPr>
              <w:pStyle w:val="TableParagraph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253"/>
        </w:trPr>
        <w:tc>
          <w:tcPr>
            <w:tcW w:w="523" w:type="dxa"/>
          </w:tcPr>
          <w:p w:rsidR="00721B4F" w:rsidRPr="00C1648B" w:rsidRDefault="00750F66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146" w:type="dxa"/>
          </w:tcPr>
          <w:p w:rsidR="00721B4F" w:rsidRPr="00C1648B" w:rsidRDefault="00D350AE" w:rsidP="00DC74D5">
            <w:pPr>
              <w:pStyle w:val="TableParagraph"/>
              <w:spacing w:line="234" w:lineRule="exact"/>
              <w:ind w:left="105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 xml:space="preserve">Experience of using </w:t>
            </w:r>
            <w:r w:rsidR="00DC74D5">
              <w:rPr>
                <w:rFonts w:ascii="Calibri" w:hAnsi="Calibri" w:cs="Calibri"/>
              </w:rPr>
              <w:t>Microsoft</w:t>
            </w:r>
            <w:r w:rsidRPr="00C1648B">
              <w:rPr>
                <w:rFonts w:ascii="Calibri" w:hAnsi="Calibri" w:cs="Calibri"/>
              </w:rPr>
              <w:t xml:space="preserve"> Software</w:t>
            </w:r>
            <w:r w:rsidR="004C018C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spacing w:line="234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251"/>
        </w:trPr>
        <w:tc>
          <w:tcPr>
            <w:tcW w:w="523" w:type="dxa"/>
          </w:tcPr>
          <w:p w:rsidR="00721B4F" w:rsidRPr="00C1648B" w:rsidRDefault="00750F66">
            <w:pPr>
              <w:pStyle w:val="TableParagraph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146" w:type="dxa"/>
          </w:tcPr>
          <w:p w:rsidR="00721B4F" w:rsidRPr="00C1648B" w:rsidRDefault="00D350AE">
            <w:pPr>
              <w:pStyle w:val="TableParagraph"/>
              <w:ind w:left="105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 xml:space="preserve">Experience of managing </w:t>
            </w:r>
            <w:r w:rsidR="00750F66">
              <w:rPr>
                <w:rFonts w:ascii="Calibri" w:hAnsi="Calibri" w:cs="Calibri"/>
              </w:rPr>
              <w:t xml:space="preserve">staff and </w:t>
            </w:r>
            <w:r w:rsidRPr="00C1648B">
              <w:rPr>
                <w:rFonts w:ascii="Calibri" w:hAnsi="Calibri" w:cs="Calibri"/>
              </w:rPr>
              <w:t>contractors.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506"/>
        </w:trPr>
        <w:tc>
          <w:tcPr>
            <w:tcW w:w="523" w:type="dxa"/>
          </w:tcPr>
          <w:p w:rsidR="00721B4F" w:rsidRPr="00C1648B" w:rsidRDefault="00750F66" w:rsidP="004B4C0A">
            <w:pPr>
              <w:pStyle w:val="TableParagraph"/>
              <w:spacing w:line="250" w:lineRule="exact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146" w:type="dxa"/>
          </w:tcPr>
          <w:p w:rsidR="00721B4F" w:rsidRPr="00C1648B" w:rsidRDefault="00D350AE" w:rsidP="004C018C">
            <w:pPr>
              <w:pStyle w:val="TableParagraph"/>
              <w:spacing w:line="240" w:lineRule="auto"/>
              <w:ind w:right="1588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 xml:space="preserve">Demonstrable experience of working with other </w:t>
            </w:r>
            <w:r w:rsidR="004C018C" w:rsidRPr="00C1648B">
              <w:rPr>
                <w:rFonts w:ascii="Calibri" w:hAnsi="Calibri" w:cs="Calibri"/>
              </w:rPr>
              <w:t>agencies</w:t>
            </w:r>
            <w:r w:rsidR="004C018C">
              <w:rPr>
                <w:rFonts w:ascii="Calibri" w:hAnsi="Calibri" w:cs="Calibri"/>
              </w:rPr>
              <w:t>/stakeholders</w:t>
            </w:r>
            <w:r w:rsidRPr="00C1648B">
              <w:rPr>
                <w:rFonts w:ascii="Calibri" w:hAnsi="Calibri" w:cs="Calibri"/>
              </w:rPr>
              <w:t xml:space="preserve"> to achieve shared objectives.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spacing w:line="250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C1648B">
        <w:trPr>
          <w:trHeight w:val="251"/>
        </w:trPr>
        <w:tc>
          <w:tcPr>
            <w:tcW w:w="9236" w:type="dxa"/>
            <w:gridSpan w:val="3"/>
          </w:tcPr>
          <w:p w:rsidR="00721B4F" w:rsidRPr="00247F34" w:rsidRDefault="00721B4F">
            <w:pPr>
              <w:pStyle w:val="TableParagraph"/>
              <w:spacing w:line="240" w:lineRule="auto"/>
              <w:ind w:left="0"/>
              <w:rPr>
                <w:rFonts w:ascii="Calibri" w:hAnsi="Calibri" w:cs="Calibri"/>
              </w:rPr>
            </w:pPr>
          </w:p>
        </w:tc>
      </w:tr>
      <w:tr w:rsidR="00DC74D5" w:rsidRPr="00DC74D5" w:rsidTr="00C1648B">
        <w:trPr>
          <w:trHeight w:val="253"/>
        </w:trPr>
        <w:tc>
          <w:tcPr>
            <w:tcW w:w="9236" w:type="dxa"/>
            <w:gridSpan w:val="3"/>
          </w:tcPr>
          <w:p w:rsidR="00721B4F" w:rsidRPr="00247F34" w:rsidRDefault="00D350AE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  <w:b/>
              </w:rPr>
            </w:pPr>
            <w:r w:rsidRPr="00247F34">
              <w:rPr>
                <w:rFonts w:ascii="Calibri" w:hAnsi="Calibri" w:cs="Calibri"/>
                <w:b/>
              </w:rPr>
              <w:t>Aptitudes/ Knowledge</w:t>
            </w:r>
          </w:p>
        </w:tc>
      </w:tr>
      <w:tr w:rsidR="00DC74D5" w:rsidRPr="00DC74D5" w:rsidTr="004C018C">
        <w:trPr>
          <w:trHeight w:val="251"/>
        </w:trPr>
        <w:tc>
          <w:tcPr>
            <w:tcW w:w="523" w:type="dxa"/>
          </w:tcPr>
          <w:p w:rsidR="00721B4F" w:rsidRPr="00C1648B" w:rsidRDefault="00750F66">
            <w:pPr>
              <w:pStyle w:val="TableParagraph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146" w:type="dxa"/>
          </w:tcPr>
          <w:p w:rsidR="00721B4F" w:rsidRPr="00C1648B" w:rsidRDefault="00D350AE">
            <w:pPr>
              <w:pStyle w:val="TableParagraph"/>
              <w:ind w:left="105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>Ability to implement service level agreements and service contracts</w:t>
            </w:r>
            <w:r w:rsidR="004C018C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506"/>
        </w:trPr>
        <w:tc>
          <w:tcPr>
            <w:tcW w:w="523" w:type="dxa"/>
          </w:tcPr>
          <w:p w:rsidR="00721B4F" w:rsidRPr="00C1648B" w:rsidRDefault="002F6464" w:rsidP="00750F66">
            <w:pPr>
              <w:pStyle w:val="TableParagraph"/>
              <w:spacing w:line="250" w:lineRule="exact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50F66">
              <w:rPr>
                <w:rFonts w:ascii="Calibri" w:hAnsi="Calibri" w:cs="Calibri"/>
              </w:rPr>
              <w:t>0</w:t>
            </w:r>
          </w:p>
        </w:tc>
        <w:tc>
          <w:tcPr>
            <w:tcW w:w="8146" w:type="dxa"/>
          </w:tcPr>
          <w:p w:rsidR="00721B4F" w:rsidRPr="00C1648B" w:rsidRDefault="00D350AE">
            <w:pPr>
              <w:pStyle w:val="TableParagraph"/>
              <w:spacing w:before="2" w:line="252" w:lineRule="exact"/>
              <w:ind w:left="105" w:right="117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>Knowledge of relevant housing legislation and the current issues relating to social housing providers, including TMOs</w:t>
            </w:r>
            <w:r w:rsidR="004C018C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spacing w:line="250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  <w:b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506"/>
        </w:trPr>
        <w:tc>
          <w:tcPr>
            <w:tcW w:w="523" w:type="dxa"/>
          </w:tcPr>
          <w:p w:rsidR="00721B4F" w:rsidRPr="00C1648B" w:rsidRDefault="002F6464" w:rsidP="00750F66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50F66">
              <w:rPr>
                <w:rFonts w:ascii="Calibri" w:hAnsi="Calibri" w:cs="Calibri"/>
              </w:rPr>
              <w:t>1</w:t>
            </w:r>
          </w:p>
        </w:tc>
        <w:tc>
          <w:tcPr>
            <w:tcW w:w="8146" w:type="dxa"/>
          </w:tcPr>
          <w:p w:rsidR="00721B4F" w:rsidRPr="00C1648B" w:rsidRDefault="00D350AE">
            <w:pPr>
              <w:pStyle w:val="TableParagraph"/>
              <w:spacing w:before="2" w:line="252" w:lineRule="exact"/>
              <w:ind w:left="105" w:right="827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 xml:space="preserve">Ability to lead, </w:t>
            </w:r>
            <w:r w:rsidR="004B4C0A" w:rsidRPr="00C1648B">
              <w:rPr>
                <w:rFonts w:ascii="Calibri" w:hAnsi="Calibri" w:cs="Calibri"/>
              </w:rPr>
              <w:t>manages</w:t>
            </w:r>
            <w:r w:rsidRPr="00C1648B">
              <w:rPr>
                <w:rFonts w:ascii="Calibri" w:hAnsi="Calibri" w:cs="Calibri"/>
              </w:rPr>
              <w:t>, support and motivate staff to achieve continuously improving housing services.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spacing w:line="251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506"/>
        </w:trPr>
        <w:tc>
          <w:tcPr>
            <w:tcW w:w="523" w:type="dxa"/>
          </w:tcPr>
          <w:p w:rsidR="00721B4F" w:rsidRPr="00C1648B" w:rsidRDefault="004B4C0A" w:rsidP="00750F66">
            <w:pPr>
              <w:pStyle w:val="TableParagraph"/>
              <w:spacing w:line="250" w:lineRule="exact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50F66">
              <w:rPr>
                <w:rFonts w:ascii="Calibri" w:hAnsi="Calibri" w:cs="Calibri"/>
              </w:rPr>
              <w:t>2</w:t>
            </w:r>
          </w:p>
        </w:tc>
        <w:tc>
          <w:tcPr>
            <w:tcW w:w="8146" w:type="dxa"/>
          </w:tcPr>
          <w:p w:rsidR="00721B4F" w:rsidRPr="00C1648B" w:rsidRDefault="00D350AE" w:rsidP="00DC74D5">
            <w:pPr>
              <w:pStyle w:val="TableParagraph"/>
              <w:spacing w:before="2" w:line="252" w:lineRule="exact"/>
              <w:ind w:left="105" w:right="241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 xml:space="preserve">Able to produce, clear concise written material of a wide range of audiences, 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spacing w:line="250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505"/>
        </w:trPr>
        <w:tc>
          <w:tcPr>
            <w:tcW w:w="523" w:type="dxa"/>
          </w:tcPr>
          <w:p w:rsidR="00721B4F" w:rsidRPr="00C1648B" w:rsidRDefault="002F6464" w:rsidP="00750F66">
            <w:pPr>
              <w:pStyle w:val="TableParagraph"/>
              <w:spacing w:line="250" w:lineRule="exact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50F66">
              <w:rPr>
                <w:rFonts w:ascii="Calibri" w:hAnsi="Calibri" w:cs="Calibri"/>
              </w:rPr>
              <w:t>3</w:t>
            </w:r>
          </w:p>
        </w:tc>
        <w:tc>
          <w:tcPr>
            <w:tcW w:w="8146" w:type="dxa"/>
          </w:tcPr>
          <w:p w:rsidR="00721B4F" w:rsidRPr="00C1648B" w:rsidRDefault="00D350AE">
            <w:pPr>
              <w:pStyle w:val="TableParagraph"/>
              <w:spacing w:line="254" w:lineRule="exact"/>
              <w:ind w:left="105" w:right="460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>Ability to work on own initiative and managing a demanding workload with competing priorities.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spacing w:line="250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252"/>
        </w:trPr>
        <w:tc>
          <w:tcPr>
            <w:tcW w:w="523" w:type="dxa"/>
          </w:tcPr>
          <w:p w:rsidR="00721B4F" w:rsidRPr="00C1648B" w:rsidRDefault="004B4C0A" w:rsidP="00750F66">
            <w:pPr>
              <w:pStyle w:val="TableParagraph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50F66">
              <w:rPr>
                <w:rFonts w:ascii="Calibri" w:hAnsi="Calibri" w:cs="Calibri"/>
              </w:rPr>
              <w:t>4</w:t>
            </w:r>
          </w:p>
        </w:tc>
        <w:tc>
          <w:tcPr>
            <w:tcW w:w="8146" w:type="dxa"/>
          </w:tcPr>
          <w:p w:rsidR="00721B4F" w:rsidRPr="00C1648B" w:rsidRDefault="00D350AE">
            <w:pPr>
              <w:pStyle w:val="TableParagraph"/>
              <w:ind w:left="105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>Highly developed problem solving skills</w:t>
            </w:r>
            <w:r w:rsidR="004C018C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  <w:tr w:rsidR="00DC74D5" w:rsidRPr="00DC74D5" w:rsidTr="004C018C">
        <w:trPr>
          <w:trHeight w:val="314"/>
        </w:trPr>
        <w:tc>
          <w:tcPr>
            <w:tcW w:w="523" w:type="dxa"/>
          </w:tcPr>
          <w:p w:rsidR="00721B4F" w:rsidRPr="00C1648B" w:rsidRDefault="004B4C0A" w:rsidP="00750F66">
            <w:pPr>
              <w:pStyle w:val="TableParagraph"/>
              <w:spacing w:line="251" w:lineRule="exact"/>
              <w:ind w:left="10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50F66">
              <w:rPr>
                <w:rFonts w:ascii="Calibri" w:hAnsi="Calibri" w:cs="Calibri"/>
              </w:rPr>
              <w:t>5</w:t>
            </w:r>
          </w:p>
        </w:tc>
        <w:tc>
          <w:tcPr>
            <w:tcW w:w="8146" w:type="dxa"/>
          </w:tcPr>
          <w:p w:rsidR="00721B4F" w:rsidRPr="00C1648B" w:rsidRDefault="00D350AE">
            <w:pPr>
              <w:pStyle w:val="TableParagraph"/>
              <w:spacing w:before="2" w:line="252" w:lineRule="exact"/>
              <w:ind w:left="105" w:right="839"/>
              <w:rPr>
                <w:rFonts w:ascii="Calibri" w:hAnsi="Calibri" w:cs="Calibri"/>
              </w:rPr>
            </w:pPr>
            <w:r w:rsidRPr="00C1648B">
              <w:rPr>
                <w:rFonts w:ascii="Calibri" w:hAnsi="Calibri" w:cs="Calibri"/>
              </w:rPr>
              <w:t>Demonstrable ability to resolve conflict and build positive working relationships.</w:t>
            </w:r>
          </w:p>
        </w:tc>
        <w:tc>
          <w:tcPr>
            <w:tcW w:w="567" w:type="dxa"/>
          </w:tcPr>
          <w:p w:rsidR="00721B4F" w:rsidRPr="00247F34" w:rsidRDefault="00D350AE" w:rsidP="00750F66">
            <w:pPr>
              <w:pStyle w:val="TableParagraph"/>
              <w:spacing w:line="251" w:lineRule="exact"/>
              <w:rPr>
                <w:rFonts w:ascii="Calibri" w:hAnsi="Calibri" w:cs="Calibri"/>
              </w:rPr>
            </w:pPr>
            <w:r w:rsidRPr="00247F34">
              <w:rPr>
                <w:rFonts w:ascii="Calibri" w:hAnsi="Calibri" w:cs="Calibri"/>
              </w:rPr>
              <w:t>E</w:t>
            </w:r>
            <w:r w:rsidR="002F6464" w:rsidRPr="00247F34">
              <w:rPr>
                <w:rFonts w:ascii="Calibri" w:hAnsi="Calibri" w:cs="Calibri"/>
              </w:rPr>
              <w:t>,</w:t>
            </w:r>
            <w:r w:rsidR="00750F66" w:rsidRPr="00247F34">
              <w:rPr>
                <w:rFonts w:ascii="Calibri" w:hAnsi="Calibri" w:cs="Calibri"/>
              </w:rPr>
              <w:t>D</w:t>
            </w:r>
          </w:p>
        </w:tc>
      </w:tr>
    </w:tbl>
    <w:p w:rsidR="00721B4F" w:rsidRPr="00C1648B" w:rsidRDefault="00721B4F">
      <w:pPr>
        <w:spacing w:line="251" w:lineRule="exact"/>
        <w:rPr>
          <w:rFonts w:ascii="Calibri" w:hAnsi="Calibri" w:cs="Calibri"/>
        </w:rPr>
        <w:sectPr w:rsidR="00721B4F" w:rsidRPr="00C1648B">
          <w:pgSz w:w="11910" w:h="16840"/>
          <w:pgMar w:top="1040" w:right="1520" w:bottom="280" w:left="1580" w:header="720" w:footer="720" w:gutter="0"/>
          <w:cols w:space="720"/>
        </w:sectPr>
      </w:pPr>
      <w:bookmarkStart w:id="0" w:name="_GoBack"/>
      <w:bookmarkEnd w:id="0"/>
    </w:p>
    <w:p w:rsidR="00D350AE" w:rsidRPr="00C1648B" w:rsidRDefault="00D350AE">
      <w:pPr>
        <w:rPr>
          <w:rFonts w:ascii="Calibri" w:hAnsi="Calibri" w:cs="Calibri"/>
        </w:rPr>
      </w:pPr>
    </w:p>
    <w:sectPr w:rsidR="00D350AE" w:rsidRPr="00C1648B">
      <w:pgSz w:w="11910" w:h="16840"/>
      <w:pgMar w:top="1400" w:right="15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9F" w:rsidRDefault="00D9049F">
      <w:r>
        <w:separator/>
      </w:r>
    </w:p>
  </w:endnote>
  <w:endnote w:type="continuationSeparator" w:id="0">
    <w:p w:rsidR="00D9049F" w:rsidRDefault="00D9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9F" w:rsidRDefault="00D9049F">
      <w:r>
        <w:separator/>
      </w:r>
    </w:p>
  </w:footnote>
  <w:footnote w:type="continuationSeparator" w:id="0">
    <w:p w:rsidR="00D9049F" w:rsidRDefault="00D9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527B"/>
    <w:multiLevelType w:val="hybridMultilevel"/>
    <w:tmpl w:val="13863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524F"/>
    <w:multiLevelType w:val="hybridMultilevel"/>
    <w:tmpl w:val="694E574E"/>
    <w:lvl w:ilvl="0" w:tplc="451E151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D8A1CF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76D065CE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2062C0B2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1AAC7C00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70E45FAA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6" w:tplc="57BC4678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7" w:tplc="D1428E60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8" w:tplc="7A26A424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</w:abstractNum>
  <w:abstractNum w:abstractNumId="2">
    <w:nsid w:val="265E2514"/>
    <w:multiLevelType w:val="hybridMultilevel"/>
    <w:tmpl w:val="34A86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B0E00"/>
    <w:multiLevelType w:val="hybridMultilevel"/>
    <w:tmpl w:val="1E04D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A4BFA"/>
    <w:multiLevelType w:val="hybridMultilevel"/>
    <w:tmpl w:val="EAF8C5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446B18"/>
    <w:multiLevelType w:val="hybridMultilevel"/>
    <w:tmpl w:val="A6905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A6F70"/>
    <w:multiLevelType w:val="hybridMultilevel"/>
    <w:tmpl w:val="C1208580"/>
    <w:lvl w:ilvl="0" w:tplc="0809000F">
      <w:start w:val="1"/>
      <w:numFmt w:val="decimal"/>
      <w:lvlText w:val="%1."/>
      <w:lvlJc w:val="left"/>
      <w:pPr>
        <w:ind w:left="1002" w:hanging="360"/>
      </w:pPr>
    </w:lvl>
    <w:lvl w:ilvl="1" w:tplc="08090019" w:tentative="1">
      <w:start w:val="1"/>
      <w:numFmt w:val="lowerLetter"/>
      <w:lvlText w:val="%2."/>
      <w:lvlJc w:val="left"/>
      <w:pPr>
        <w:ind w:left="1722" w:hanging="360"/>
      </w:p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>
    <w:nsid w:val="53DA0C98"/>
    <w:multiLevelType w:val="hybridMultilevel"/>
    <w:tmpl w:val="C1661EAE"/>
    <w:lvl w:ilvl="0" w:tplc="3934EAA8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3D41074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8540563C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8D86B93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4" w:tplc="E8B275CA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5" w:tplc="59FA50B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6" w:tplc="6DE0ADC6">
      <w:numFmt w:val="bullet"/>
      <w:lvlText w:val="•"/>
      <w:lvlJc w:val="left"/>
      <w:pPr>
        <w:ind w:left="4998" w:hanging="360"/>
      </w:pPr>
      <w:rPr>
        <w:rFonts w:hint="default"/>
        <w:lang w:val="en-US" w:eastAsia="en-US" w:bidi="ar-SA"/>
      </w:rPr>
    </w:lvl>
    <w:lvl w:ilvl="7" w:tplc="1278F702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8" w:tplc="990A7ED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</w:abstractNum>
  <w:abstractNum w:abstractNumId="8">
    <w:nsid w:val="689C0141"/>
    <w:multiLevelType w:val="hybridMultilevel"/>
    <w:tmpl w:val="7DFC9792"/>
    <w:lvl w:ilvl="0" w:tplc="51B03BE2">
      <w:start w:val="1"/>
      <w:numFmt w:val="decimal"/>
      <w:lvlText w:val="%1."/>
      <w:lvlJc w:val="left"/>
      <w:pPr>
        <w:ind w:left="94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C585C76">
      <w:start w:val="2"/>
      <w:numFmt w:val="lowerLetter"/>
      <w:lvlText w:val="%2)"/>
      <w:lvlJc w:val="left"/>
      <w:pPr>
        <w:ind w:left="2381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8250BE7E">
      <w:numFmt w:val="bullet"/>
      <w:lvlText w:val="•"/>
      <w:lvlJc w:val="left"/>
      <w:pPr>
        <w:ind w:left="3094" w:hanging="721"/>
      </w:pPr>
      <w:rPr>
        <w:rFonts w:hint="default"/>
        <w:lang w:val="en-US" w:eastAsia="en-US" w:bidi="ar-SA"/>
      </w:rPr>
    </w:lvl>
    <w:lvl w:ilvl="3" w:tplc="6C44EE9A">
      <w:numFmt w:val="bullet"/>
      <w:lvlText w:val="•"/>
      <w:lvlJc w:val="left"/>
      <w:pPr>
        <w:ind w:left="3808" w:hanging="721"/>
      </w:pPr>
      <w:rPr>
        <w:rFonts w:hint="default"/>
        <w:lang w:val="en-US" w:eastAsia="en-US" w:bidi="ar-SA"/>
      </w:rPr>
    </w:lvl>
    <w:lvl w:ilvl="4" w:tplc="3E4C52D2">
      <w:numFmt w:val="bullet"/>
      <w:lvlText w:val="•"/>
      <w:lvlJc w:val="left"/>
      <w:pPr>
        <w:ind w:left="4522" w:hanging="721"/>
      </w:pPr>
      <w:rPr>
        <w:rFonts w:hint="default"/>
        <w:lang w:val="en-US" w:eastAsia="en-US" w:bidi="ar-SA"/>
      </w:rPr>
    </w:lvl>
    <w:lvl w:ilvl="5" w:tplc="9F145AA6">
      <w:numFmt w:val="bullet"/>
      <w:lvlText w:val="•"/>
      <w:lvlJc w:val="left"/>
      <w:pPr>
        <w:ind w:left="5236" w:hanging="721"/>
      </w:pPr>
      <w:rPr>
        <w:rFonts w:hint="default"/>
        <w:lang w:val="en-US" w:eastAsia="en-US" w:bidi="ar-SA"/>
      </w:rPr>
    </w:lvl>
    <w:lvl w:ilvl="6" w:tplc="0D4EDC2E">
      <w:numFmt w:val="bullet"/>
      <w:lvlText w:val="•"/>
      <w:lvlJc w:val="left"/>
      <w:pPr>
        <w:ind w:left="5950" w:hanging="721"/>
      </w:pPr>
      <w:rPr>
        <w:rFonts w:hint="default"/>
        <w:lang w:val="en-US" w:eastAsia="en-US" w:bidi="ar-SA"/>
      </w:rPr>
    </w:lvl>
    <w:lvl w:ilvl="7" w:tplc="58CCF274">
      <w:numFmt w:val="bullet"/>
      <w:lvlText w:val="•"/>
      <w:lvlJc w:val="left"/>
      <w:pPr>
        <w:ind w:left="6664" w:hanging="721"/>
      </w:pPr>
      <w:rPr>
        <w:rFonts w:hint="default"/>
        <w:lang w:val="en-US" w:eastAsia="en-US" w:bidi="ar-SA"/>
      </w:rPr>
    </w:lvl>
    <w:lvl w:ilvl="8" w:tplc="CFFA2BBC">
      <w:numFmt w:val="bullet"/>
      <w:lvlText w:val="•"/>
      <w:lvlJc w:val="left"/>
      <w:pPr>
        <w:ind w:left="7378" w:hanging="721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4F"/>
    <w:rsid w:val="00097961"/>
    <w:rsid w:val="000F4CB8"/>
    <w:rsid w:val="001C0DC3"/>
    <w:rsid w:val="001D07A0"/>
    <w:rsid w:val="0024410D"/>
    <w:rsid w:val="00247F34"/>
    <w:rsid w:val="002F6464"/>
    <w:rsid w:val="004470B9"/>
    <w:rsid w:val="004B4C0A"/>
    <w:rsid w:val="004C018C"/>
    <w:rsid w:val="00593F09"/>
    <w:rsid w:val="005F6C3F"/>
    <w:rsid w:val="00663A6B"/>
    <w:rsid w:val="006A33D8"/>
    <w:rsid w:val="006F3824"/>
    <w:rsid w:val="007169F7"/>
    <w:rsid w:val="00721B4F"/>
    <w:rsid w:val="00750F66"/>
    <w:rsid w:val="0075492C"/>
    <w:rsid w:val="0084167F"/>
    <w:rsid w:val="009A4136"/>
    <w:rsid w:val="00B10775"/>
    <w:rsid w:val="00B24DD9"/>
    <w:rsid w:val="00BF36F8"/>
    <w:rsid w:val="00C1648B"/>
    <w:rsid w:val="00C2593D"/>
    <w:rsid w:val="00CA0F14"/>
    <w:rsid w:val="00D350AE"/>
    <w:rsid w:val="00D9049F"/>
    <w:rsid w:val="00DC74D5"/>
    <w:rsid w:val="00ED60CA"/>
    <w:rsid w:val="00EF6B64"/>
    <w:rsid w:val="00F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8"/>
    </w:pPr>
  </w:style>
  <w:style w:type="paragraph" w:styleId="Footer">
    <w:name w:val="footer"/>
    <w:basedOn w:val="Normal"/>
    <w:link w:val="FooterChar"/>
    <w:uiPriority w:val="99"/>
    <w:rsid w:val="00B10775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1077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C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8C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8"/>
    </w:pPr>
  </w:style>
  <w:style w:type="paragraph" w:styleId="Footer">
    <w:name w:val="footer"/>
    <w:basedOn w:val="Normal"/>
    <w:link w:val="FooterChar"/>
    <w:uiPriority w:val="99"/>
    <w:rsid w:val="00B10775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1077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C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8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Employer:  Browning Estate Management Association</vt:lpstr>
    </vt:vector>
  </TitlesOfParts>
  <Company>London Borough of Southwark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Employer:  Browning Estate Management Association</dc:title>
  <dc:creator>jharford</dc:creator>
  <cp:lastModifiedBy>ghtmo</cp:lastModifiedBy>
  <cp:revision>2</cp:revision>
  <dcterms:created xsi:type="dcterms:W3CDTF">2025-10-07T11:07:00Z</dcterms:created>
  <dcterms:modified xsi:type="dcterms:W3CDTF">2025-10-07T11:07:00Z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