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232A" w14:textId="4DA6C5FD" w:rsidR="00AE65A6" w:rsidRPr="004F4F81" w:rsidRDefault="00AE65A6">
      <w:pPr>
        <w:rPr>
          <w:rFonts w:ascii="Arial" w:hAnsi="Arial" w:cs="Arial"/>
          <w:b/>
          <w:bCs/>
        </w:rPr>
      </w:pPr>
      <w:r w:rsidRPr="004F4F81">
        <w:rPr>
          <w:rFonts w:ascii="Arial" w:hAnsi="Arial" w:cs="Arial"/>
          <w:b/>
          <w:bCs/>
        </w:rPr>
        <w:t xml:space="preserve">Role of the Pension Board </w:t>
      </w:r>
    </w:p>
    <w:p w14:paraId="7ECEC3BC" w14:textId="77777777" w:rsidR="00AE65A6" w:rsidRPr="004F4F81" w:rsidRDefault="00AE65A6">
      <w:pPr>
        <w:rPr>
          <w:rFonts w:ascii="Arial" w:hAnsi="Arial" w:cs="Arial"/>
          <w:b/>
          <w:bCs/>
        </w:rPr>
      </w:pPr>
    </w:p>
    <w:p w14:paraId="5266565E" w14:textId="4619EFB2" w:rsidR="00AE65A6" w:rsidRPr="004F4F81" w:rsidRDefault="00AE65A6">
      <w:pPr>
        <w:rPr>
          <w:rFonts w:ascii="Arial" w:hAnsi="Arial" w:cs="Arial"/>
        </w:rPr>
      </w:pPr>
      <w:r w:rsidRPr="004F4F81">
        <w:rPr>
          <w:rFonts w:ascii="Arial" w:hAnsi="Arial" w:cs="Arial"/>
        </w:rPr>
        <w:t>The Role of the Pension Board is defined in regulation 106 (1) of the LGPS Regulations 2013 (as amended) as follows:</w:t>
      </w:r>
    </w:p>
    <w:p w14:paraId="700BEDB1" w14:textId="77777777" w:rsidR="00AE65A6" w:rsidRPr="004F4F81" w:rsidRDefault="00AE65A6">
      <w:pPr>
        <w:rPr>
          <w:rFonts w:ascii="Arial" w:hAnsi="Arial" w:cs="Arial"/>
          <w:b/>
          <w:bCs/>
        </w:rPr>
      </w:pPr>
    </w:p>
    <w:p w14:paraId="51531E02" w14:textId="77777777" w:rsidR="00AE65A6" w:rsidRPr="004F4F81" w:rsidRDefault="00AE65A6" w:rsidP="00AE65A6">
      <w:pPr>
        <w:shd w:val="clear" w:color="auto" w:fill="FFFFFF"/>
        <w:spacing w:after="120" w:line="360" w:lineRule="atLeast"/>
        <w:jc w:val="both"/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</w:pPr>
      <w:r w:rsidRPr="004F4F81">
        <w:rPr>
          <w:rFonts w:ascii="Arial" w:eastAsia="Times New Roman" w:hAnsi="Arial" w:cs="Arial"/>
          <w:b/>
          <w:bCs/>
          <w:i/>
          <w:iCs/>
          <w:color w:val="1E1E1E"/>
          <w:kern w:val="0"/>
          <w:lang w:eastAsia="en-GB"/>
          <w14:ligatures w14:val="none"/>
        </w:rPr>
        <w:t>106.</w:t>
      </w:r>
      <w:proofErr w:type="gramStart"/>
      <w:r w:rsidRPr="004F4F81"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  <w:t>—(</w:t>
      </w:r>
      <w:proofErr w:type="gramEnd"/>
      <w:r w:rsidRPr="004F4F81"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  <w:t>1) Each administering authority shall no later than 1st April 2015 establish a pension board (“a local pension board”) responsible for assisting it—</w:t>
      </w:r>
    </w:p>
    <w:p w14:paraId="7CB31960" w14:textId="77777777" w:rsidR="00AE65A6" w:rsidRPr="004F4F81" w:rsidRDefault="00AE65A6" w:rsidP="00AE65A6">
      <w:pPr>
        <w:shd w:val="clear" w:color="auto" w:fill="FFFFFF"/>
        <w:spacing w:after="120" w:line="360" w:lineRule="atLeast"/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</w:pPr>
      <w:r w:rsidRPr="004F4F81"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  <w:t>(a)to secure compliance with—</w:t>
      </w:r>
    </w:p>
    <w:p w14:paraId="7DE1723B" w14:textId="77777777" w:rsidR="00AE65A6" w:rsidRPr="004F4F81" w:rsidRDefault="00AE65A6" w:rsidP="00AE65A6">
      <w:pPr>
        <w:shd w:val="clear" w:color="auto" w:fill="FFFFFF"/>
        <w:spacing w:after="120" w:line="360" w:lineRule="atLeast"/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</w:pPr>
      <w:r w:rsidRPr="004F4F81"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  <w:t>(i)these Regulations,</w:t>
      </w:r>
    </w:p>
    <w:p w14:paraId="4CE83319" w14:textId="77777777" w:rsidR="00AE65A6" w:rsidRPr="004F4F81" w:rsidRDefault="00AE65A6" w:rsidP="00AE65A6">
      <w:pPr>
        <w:shd w:val="clear" w:color="auto" w:fill="FFFFFF"/>
        <w:spacing w:after="120" w:line="360" w:lineRule="atLeast"/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</w:pPr>
      <w:r w:rsidRPr="004F4F81"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  <w:t>(ii)any other legislation relating to the governance and administration of the Scheme and any connected scheme, and</w:t>
      </w:r>
    </w:p>
    <w:p w14:paraId="02FD350E" w14:textId="77777777" w:rsidR="00AE65A6" w:rsidRPr="004F4F81" w:rsidRDefault="00AE65A6" w:rsidP="00AE65A6">
      <w:pPr>
        <w:shd w:val="clear" w:color="auto" w:fill="FFFFFF"/>
        <w:spacing w:after="120" w:line="360" w:lineRule="atLeast"/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</w:pPr>
      <w:r w:rsidRPr="004F4F81"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  <w:t>(iii)any requirements imposed by the Pensions Regulator in relation to the Scheme and any connected scheme; and</w:t>
      </w:r>
    </w:p>
    <w:p w14:paraId="46E90DF0" w14:textId="77777777" w:rsidR="00AE65A6" w:rsidRPr="004F4F81" w:rsidRDefault="00AE65A6" w:rsidP="00AE65A6">
      <w:pPr>
        <w:shd w:val="clear" w:color="auto" w:fill="FFFFFF"/>
        <w:spacing w:after="120" w:line="360" w:lineRule="atLeast"/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</w:pPr>
      <w:r w:rsidRPr="004F4F81"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  <w:t>(b)to ensure the effective and efficient governance and administration of the Scheme and any connected scheme.</w:t>
      </w:r>
    </w:p>
    <w:p w14:paraId="4C0F8DF4" w14:textId="77777777" w:rsidR="00AE65A6" w:rsidRPr="004F4F81" w:rsidRDefault="00AE65A6" w:rsidP="00AE65A6">
      <w:pPr>
        <w:shd w:val="clear" w:color="auto" w:fill="FFFFFF"/>
        <w:spacing w:after="120" w:line="360" w:lineRule="atLeast"/>
        <w:rPr>
          <w:rFonts w:ascii="Arial" w:eastAsia="Times New Roman" w:hAnsi="Arial" w:cs="Arial"/>
          <w:i/>
          <w:iCs/>
          <w:color w:val="1E1E1E"/>
          <w:kern w:val="0"/>
          <w:lang w:eastAsia="en-GB"/>
          <w14:ligatures w14:val="none"/>
        </w:rPr>
      </w:pPr>
    </w:p>
    <w:p w14:paraId="06902C04" w14:textId="230F23C5" w:rsidR="00AE65A6" w:rsidRPr="004F4F81" w:rsidRDefault="00AE65A6" w:rsidP="00AE65A6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1E1E1E"/>
          <w:kern w:val="0"/>
          <w:lang w:eastAsia="en-GB"/>
          <w14:ligatures w14:val="none"/>
        </w:rPr>
      </w:pPr>
      <w:r w:rsidRPr="004F4F81">
        <w:rPr>
          <w:rFonts w:ascii="Arial" w:eastAsia="Times New Roman" w:hAnsi="Arial" w:cs="Arial"/>
          <w:color w:val="1E1E1E"/>
          <w:kern w:val="0"/>
          <w:lang w:eastAsia="en-GB"/>
          <w14:ligatures w14:val="none"/>
        </w:rPr>
        <w:t>Regulation 106(8) goes on to state the following:</w:t>
      </w:r>
    </w:p>
    <w:p w14:paraId="3A5C5D7E" w14:textId="77777777" w:rsidR="00AE65A6" w:rsidRPr="004F4F81" w:rsidRDefault="00AE65A6" w:rsidP="00AE65A6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1E1E1E"/>
          <w:kern w:val="0"/>
          <w:lang w:eastAsia="en-GB"/>
          <w14:ligatures w14:val="none"/>
        </w:rPr>
      </w:pPr>
    </w:p>
    <w:p w14:paraId="76C9BFA8" w14:textId="36F931A7" w:rsidR="00E501A8" w:rsidRPr="004F4F81" w:rsidRDefault="00AE65A6">
      <w:pPr>
        <w:rPr>
          <w:rStyle w:val="legaddition"/>
          <w:rFonts w:ascii="Arial" w:hAnsi="Arial" w:cs="Arial"/>
          <w:i/>
          <w:iCs/>
          <w:color w:val="1E1E1E"/>
        </w:rPr>
      </w:pPr>
      <w:r w:rsidRPr="004F4F81">
        <w:rPr>
          <w:rStyle w:val="legaddition"/>
          <w:rFonts w:ascii="Arial" w:hAnsi="Arial" w:cs="Arial"/>
          <w:i/>
          <w:iCs/>
          <w:color w:val="1E1E1E"/>
        </w:rPr>
        <w:t>(8)</w:t>
      </w:r>
      <w:r w:rsidRPr="004F4F81">
        <w:rPr>
          <w:rFonts w:ascii="Arial" w:hAnsi="Arial" w:cs="Arial"/>
          <w:i/>
          <w:iCs/>
          <w:color w:val="1E1E1E"/>
          <w:shd w:val="clear" w:color="auto" w:fill="FFFFFF"/>
        </w:rPr>
        <w:t> </w:t>
      </w:r>
      <w:r w:rsidRPr="004F4F81">
        <w:rPr>
          <w:rStyle w:val="legaddition"/>
          <w:rFonts w:ascii="Arial" w:hAnsi="Arial" w:cs="Arial"/>
          <w:i/>
          <w:iCs/>
          <w:color w:val="1E1E1E"/>
        </w:rPr>
        <w:t>A local pension board shall have the power to do anything which is calculated to facilitate, or is conducive or incidental to, the discharge of any of its functions.</w:t>
      </w:r>
    </w:p>
    <w:p w14:paraId="4BD85B56" w14:textId="77777777" w:rsidR="00AE65A6" w:rsidRPr="004F4F81" w:rsidRDefault="00AE65A6">
      <w:pPr>
        <w:rPr>
          <w:rFonts w:ascii="Arial" w:hAnsi="Arial" w:cs="Arial"/>
          <w:b/>
          <w:bCs/>
          <w:i/>
          <w:iCs/>
        </w:rPr>
      </w:pPr>
    </w:p>
    <w:p w14:paraId="0EC12D8F" w14:textId="77777777" w:rsidR="00AE65A6" w:rsidRPr="004F4F81" w:rsidRDefault="00AE65A6">
      <w:pPr>
        <w:rPr>
          <w:rFonts w:ascii="Arial" w:hAnsi="Arial" w:cs="Arial"/>
          <w:b/>
          <w:bCs/>
          <w:i/>
          <w:iCs/>
        </w:rPr>
      </w:pPr>
    </w:p>
    <w:p w14:paraId="4FE0E72A" w14:textId="77777777" w:rsidR="00AE65A6" w:rsidRPr="004F4F81" w:rsidRDefault="00AE65A6">
      <w:pPr>
        <w:rPr>
          <w:rFonts w:ascii="Arial" w:hAnsi="Arial" w:cs="Arial"/>
          <w:b/>
          <w:bCs/>
          <w:i/>
          <w:iCs/>
        </w:rPr>
      </w:pPr>
    </w:p>
    <w:p w14:paraId="6358A41D" w14:textId="77777777" w:rsidR="00AE65A6" w:rsidRPr="004F4F81" w:rsidRDefault="00AE65A6">
      <w:pPr>
        <w:rPr>
          <w:rFonts w:ascii="Arial" w:hAnsi="Arial" w:cs="Arial"/>
          <w:b/>
          <w:bCs/>
          <w:i/>
          <w:iCs/>
        </w:rPr>
      </w:pPr>
    </w:p>
    <w:p w14:paraId="2F0526F1" w14:textId="77777777" w:rsidR="00AE65A6" w:rsidRPr="004F4F81" w:rsidRDefault="00AE65A6">
      <w:pPr>
        <w:rPr>
          <w:rFonts w:ascii="Arial" w:hAnsi="Arial" w:cs="Arial"/>
          <w:b/>
          <w:bCs/>
          <w:i/>
          <w:iCs/>
        </w:rPr>
      </w:pPr>
    </w:p>
    <w:p w14:paraId="4F97A24E" w14:textId="77777777" w:rsidR="00AE65A6" w:rsidRPr="004F4F81" w:rsidRDefault="00AE65A6">
      <w:pPr>
        <w:rPr>
          <w:rFonts w:ascii="Arial" w:hAnsi="Arial" w:cs="Arial"/>
          <w:b/>
          <w:bCs/>
          <w:i/>
          <w:iCs/>
        </w:rPr>
      </w:pPr>
    </w:p>
    <w:p w14:paraId="4678182C" w14:textId="77777777" w:rsidR="00AE65A6" w:rsidRPr="004F4F81" w:rsidRDefault="00AE65A6">
      <w:pPr>
        <w:rPr>
          <w:rFonts w:ascii="Arial" w:hAnsi="Arial" w:cs="Arial"/>
          <w:b/>
          <w:bCs/>
          <w:i/>
          <w:iCs/>
        </w:rPr>
      </w:pPr>
    </w:p>
    <w:p w14:paraId="71AD5899" w14:textId="4EB78B2D" w:rsidR="00AE65A6" w:rsidRPr="004F4F81" w:rsidRDefault="00AE65A6" w:rsidP="00AE65A6">
      <w:pPr>
        <w:rPr>
          <w:rFonts w:ascii="Arial" w:hAnsi="Arial" w:cs="Arial"/>
          <w:b/>
          <w:bCs/>
        </w:rPr>
      </w:pPr>
      <w:r w:rsidRPr="004F4F81">
        <w:rPr>
          <w:rFonts w:ascii="Arial" w:hAnsi="Arial" w:cs="Arial"/>
          <w:b/>
          <w:bCs/>
        </w:rPr>
        <w:br w:type="page"/>
      </w:r>
      <w:r w:rsidRPr="004F4F81">
        <w:rPr>
          <w:rFonts w:ascii="Arial" w:hAnsi="Arial" w:cs="Arial"/>
          <w:b/>
          <w:bCs/>
        </w:rPr>
        <w:lastRenderedPageBreak/>
        <w:t>Role of the Board Chair</w:t>
      </w:r>
    </w:p>
    <w:p w14:paraId="48881B01" w14:textId="77777777" w:rsidR="00AE65A6" w:rsidRPr="004F4F81" w:rsidRDefault="00AE65A6">
      <w:pPr>
        <w:rPr>
          <w:rFonts w:ascii="Arial" w:hAnsi="Arial" w:cs="Arial"/>
          <w:b/>
          <w:bCs/>
          <w:i/>
          <w:iCs/>
        </w:rPr>
      </w:pPr>
    </w:p>
    <w:p w14:paraId="4619F7ED" w14:textId="298B82EA" w:rsidR="00F302F9" w:rsidRPr="004F4F81" w:rsidRDefault="00AE65A6" w:rsidP="00E501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Assisting to</w:t>
      </w:r>
      <w:r w:rsidR="00F302F9" w:rsidRPr="004F4F81">
        <w:rPr>
          <w:rFonts w:ascii="Arial" w:hAnsi="Arial" w:cs="Arial"/>
        </w:rPr>
        <w:t xml:space="preserve"> secure compliance with all relevant regulations and guidance concerned with the operation of the Pension Scheme, including the TPR General Code of Practice and </w:t>
      </w:r>
      <w:r w:rsidR="00394B79" w:rsidRPr="004F4F81">
        <w:rPr>
          <w:rFonts w:ascii="Arial" w:hAnsi="Arial" w:cs="Arial"/>
        </w:rPr>
        <w:t xml:space="preserve">the </w:t>
      </w:r>
      <w:r w:rsidR="00F302F9" w:rsidRPr="004F4F81">
        <w:rPr>
          <w:rFonts w:ascii="Arial" w:hAnsi="Arial" w:cs="Arial"/>
        </w:rPr>
        <w:t>Fit for the Future requirements.</w:t>
      </w:r>
    </w:p>
    <w:p w14:paraId="24E32DFF" w14:textId="77777777" w:rsidR="00E501A8" w:rsidRPr="004F4F81" w:rsidRDefault="00E501A8" w:rsidP="00E501A8">
      <w:pPr>
        <w:pStyle w:val="ListParagraph"/>
        <w:rPr>
          <w:rFonts w:ascii="Arial" w:hAnsi="Arial" w:cs="Arial"/>
        </w:rPr>
      </w:pPr>
    </w:p>
    <w:p w14:paraId="14B417C4" w14:textId="207C9582" w:rsidR="00E501A8" w:rsidRPr="004F4F81" w:rsidRDefault="00AE65A6" w:rsidP="00213E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Assisting t</w:t>
      </w:r>
      <w:r w:rsidR="00F302F9" w:rsidRPr="004F4F81">
        <w:rPr>
          <w:rFonts w:ascii="Arial" w:hAnsi="Arial" w:cs="Arial"/>
        </w:rPr>
        <w:t>o ensure effective governance and administration is in place and is reviewed as necessar</w:t>
      </w:r>
      <w:r w:rsidR="00E501A8" w:rsidRPr="004F4F81">
        <w:rPr>
          <w:rFonts w:ascii="Arial" w:hAnsi="Arial" w:cs="Arial"/>
        </w:rPr>
        <w:t>y.</w:t>
      </w:r>
    </w:p>
    <w:p w14:paraId="4BB67993" w14:textId="77777777" w:rsidR="00213E35" w:rsidRPr="004F4F81" w:rsidRDefault="00213E35" w:rsidP="00213E35">
      <w:pPr>
        <w:pStyle w:val="ListParagraph"/>
        <w:rPr>
          <w:rFonts w:ascii="Arial" w:hAnsi="Arial" w:cs="Arial"/>
        </w:rPr>
      </w:pPr>
    </w:p>
    <w:p w14:paraId="630B833C" w14:textId="77777777" w:rsidR="00213E35" w:rsidRPr="004F4F81" w:rsidRDefault="00213E35" w:rsidP="00213E35">
      <w:pPr>
        <w:pStyle w:val="ListParagraph"/>
        <w:rPr>
          <w:rFonts w:ascii="Arial" w:hAnsi="Arial" w:cs="Arial"/>
        </w:rPr>
      </w:pPr>
    </w:p>
    <w:p w14:paraId="672333D6" w14:textId="406252CD" w:rsidR="00F302F9" w:rsidRPr="004F4F81" w:rsidRDefault="00AE65A6" w:rsidP="00E501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Assisting t</w:t>
      </w:r>
      <w:r w:rsidR="00F302F9" w:rsidRPr="004F4F81">
        <w:rPr>
          <w:rFonts w:ascii="Arial" w:hAnsi="Arial" w:cs="Arial"/>
        </w:rPr>
        <w:t>o ensure members are appointed and act in accordance with the Fund Conflicts of Interest Policy and relevant code of practice</w:t>
      </w:r>
      <w:r w:rsidR="007E7B22" w:rsidRPr="004F4F81">
        <w:rPr>
          <w:rFonts w:ascii="Arial" w:hAnsi="Arial" w:cs="Arial"/>
        </w:rPr>
        <w:t xml:space="preserve"> and to </w:t>
      </w:r>
      <w:r w:rsidR="00394B79" w:rsidRPr="004F4F81">
        <w:rPr>
          <w:rFonts w:ascii="Arial" w:hAnsi="Arial" w:cs="Arial"/>
        </w:rPr>
        <w:t xml:space="preserve">personally </w:t>
      </w:r>
      <w:r w:rsidR="007E7B22" w:rsidRPr="004F4F81">
        <w:rPr>
          <w:rFonts w:ascii="Arial" w:hAnsi="Arial" w:cs="Arial"/>
        </w:rPr>
        <w:t>model this</w:t>
      </w:r>
      <w:r w:rsidR="00394B79" w:rsidRPr="004F4F81">
        <w:rPr>
          <w:rFonts w:ascii="Arial" w:hAnsi="Arial" w:cs="Arial"/>
        </w:rPr>
        <w:t>.</w:t>
      </w:r>
    </w:p>
    <w:p w14:paraId="3D0CC354" w14:textId="77777777" w:rsidR="00E501A8" w:rsidRPr="004F4F81" w:rsidRDefault="00E501A8" w:rsidP="00E501A8">
      <w:pPr>
        <w:pStyle w:val="ListParagraph"/>
        <w:rPr>
          <w:rFonts w:ascii="Arial" w:hAnsi="Arial" w:cs="Arial"/>
        </w:rPr>
      </w:pPr>
    </w:p>
    <w:p w14:paraId="196C2DC7" w14:textId="69C8E536" w:rsidR="00F302F9" w:rsidRPr="004F4F81" w:rsidRDefault="00F302F9" w:rsidP="00E501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 xml:space="preserve">To Chair meetings of the Board, encouraging inclusive participation and constructive questioning and debate whilst giving officers the opportunity to </w:t>
      </w:r>
      <w:r w:rsidR="007E7B22" w:rsidRPr="004F4F81">
        <w:rPr>
          <w:rFonts w:ascii="Arial" w:hAnsi="Arial" w:cs="Arial"/>
        </w:rPr>
        <w:t>respond and provide further information or advice as necessary</w:t>
      </w:r>
      <w:r w:rsidRPr="004F4F81">
        <w:rPr>
          <w:rFonts w:ascii="Arial" w:hAnsi="Arial" w:cs="Arial"/>
        </w:rPr>
        <w:t xml:space="preserve"> with a view to reaching consensus decisions where possible; if this is not possible, ensuring any decision reached by vote is recorded and published.</w:t>
      </w:r>
    </w:p>
    <w:p w14:paraId="07D60CD3" w14:textId="77777777" w:rsidR="00E501A8" w:rsidRPr="004F4F81" w:rsidRDefault="00E501A8" w:rsidP="00E501A8">
      <w:pPr>
        <w:pStyle w:val="ListParagraph"/>
        <w:rPr>
          <w:rFonts w:ascii="Arial" w:hAnsi="Arial" w:cs="Arial"/>
        </w:rPr>
      </w:pPr>
    </w:p>
    <w:p w14:paraId="10E04C26" w14:textId="77777777" w:rsidR="00E501A8" w:rsidRPr="004F4F81" w:rsidRDefault="00E501A8" w:rsidP="00E501A8">
      <w:pPr>
        <w:pStyle w:val="ListParagraph"/>
        <w:rPr>
          <w:rFonts w:ascii="Arial" w:hAnsi="Arial" w:cs="Arial"/>
        </w:rPr>
      </w:pPr>
    </w:p>
    <w:p w14:paraId="0A92175F" w14:textId="4199D86B" w:rsidR="007E7B22" w:rsidRPr="004F4F81" w:rsidRDefault="007E7B22" w:rsidP="00E501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To develop effective working relationships with officers and to collaborate on certain areas of Fund operations including but not limited to:</w:t>
      </w:r>
    </w:p>
    <w:p w14:paraId="56D958BF" w14:textId="77777777" w:rsidR="00E501A8" w:rsidRPr="004F4F81" w:rsidRDefault="00E501A8" w:rsidP="00E501A8">
      <w:pPr>
        <w:pStyle w:val="ListParagraph"/>
        <w:rPr>
          <w:rFonts w:ascii="Arial" w:hAnsi="Arial" w:cs="Arial"/>
        </w:rPr>
      </w:pPr>
    </w:p>
    <w:p w14:paraId="09AEC224" w14:textId="5DCFD200" w:rsidR="00394B79" w:rsidRPr="004F4F81" w:rsidRDefault="007E7B22" w:rsidP="00E501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Training Plan Development and Delivery</w:t>
      </w:r>
    </w:p>
    <w:p w14:paraId="3C9133C5" w14:textId="0EC5EBDA" w:rsidR="00394B79" w:rsidRPr="004F4F81" w:rsidRDefault="00394B79" w:rsidP="00E501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 xml:space="preserve">Board Annual Report Drafting </w:t>
      </w:r>
    </w:p>
    <w:p w14:paraId="1DCDCBF6" w14:textId="2CA4B4B0" w:rsidR="00394B79" w:rsidRPr="004F4F81" w:rsidRDefault="00394B79" w:rsidP="00E501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Forward and Business Plans Drafting</w:t>
      </w:r>
    </w:p>
    <w:p w14:paraId="3476BEE6" w14:textId="62872851" w:rsidR="00394B79" w:rsidRPr="004F4F81" w:rsidRDefault="00394B79" w:rsidP="00E501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Reviewing Board Terms of Reference periodically</w:t>
      </w:r>
    </w:p>
    <w:p w14:paraId="6F050F55" w14:textId="01EF162C" w:rsidR="00394B79" w:rsidRPr="004F4F81" w:rsidRDefault="00394B79" w:rsidP="00E501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Providing insight and advice on Breaches of the Law</w:t>
      </w:r>
    </w:p>
    <w:p w14:paraId="091B7438" w14:textId="48A8A2AF" w:rsidR="00394B79" w:rsidRPr="004F4F81" w:rsidRDefault="00394B79" w:rsidP="00E501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Ensuring the Fund Conflicts of Interest Policy and Process is being operated effectively</w:t>
      </w:r>
    </w:p>
    <w:p w14:paraId="741AF75B" w14:textId="77777777" w:rsidR="00394B79" w:rsidRPr="004F4F81" w:rsidRDefault="00394B79">
      <w:pPr>
        <w:rPr>
          <w:rFonts w:ascii="Arial" w:hAnsi="Arial" w:cs="Arial"/>
        </w:rPr>
      </w:pPr>
    </w:p>
    <w:p w14:paraId="7D27D209" w14:textId="6A0ED2EB" w:rsidR="00E501A8" w:rsidRPr="004F4F81" w:rsidRDefault="00E501A8" w:rsidP="00E501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 xml:space="preserve">To keep abreast of pressures and developments affecting the administering authority and </w:t>
      </w:r>
      <w:r w:rsidR="00AE65A6" w:rsidRPr="004F4F81">
        <w:rPr>
          <w:rFonts w:ascii="Arial" w:hAnsi="Arial" w:cs="Arial"/>
        </w:rPr>
        <w:t xml:space="preserve">assisting to </w:t>
      </w:r>
      <w:r w:rsidRPr="004F4F81">
        <w:rPr>
          <w:rFonts w:ascii="Arial" w:hAnsi="Arial" w:cs="Arial"/>
        </w:rPr>
        <w:t>seek</w:t>
      </w:r>
      <w:r w:rsidR="00AE65A6" w:rsidRPr="004F4F81">
        <w:rPr>
          <w:rFonts w:ascii="Arial" w:hAnsi="Arial" w:cs="Arial"/>
        </w:rPr>
        <w:t xml:space="preserve"> to</w:t>
      </w:r>
      <w:r w:rsidRPr="004F4F81">
        <w:rPr>
          <w:rFonts w:ascii="Arial" w:hAnsi="Arial" w:cs="Arial"/>
        </w:rPr>
        <w:t xml:space="preserve"> secure adequate resourcing for effective service delivery by advocacy.</w:t>
      </w:r>
    </w:p>
    <w:p w14:paraId="3EA36F71" w14:textId="77777777" w:rsidR="00E501A8" w:rsidRPr="004F4F81" w:rsidRDefault="00E501A8" w:rsidP="00E501A8">
      <w:pPr>
        <w:pStyle w:val="ListParagraph"/>
        <w:rPr>
          <w:rFonts w:ascii="Arial" w:hAnsi="Arial" w:cs="Arial"/>
        </w:rPr>
      </w:pPr>
    </w:p>
    <w:p w14:paraId="1C8D51FB" w14:textId="54FE9AC3" w:rsidR="00E501A8" w:rsidRPr="004F4F81" w:rsidRDefault="00E501A8" w:rsidP="00E501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To attend Committee meetings in an advisory capacity – the Committee are required to have regard to advice and insight provided by the Board.</w:t>
      </w:r>
    </w:p>
    <w:p w14:paraId="0B62B086" w14:textId="07070C7D" w:rsidR="00F302F9" w:rsidRPr="004F4F81" w:rsidRDefault="00394B79">
      <w:pPr>
        <w:rPr>
          <w:rFonts w:ascii="Arial" w:hAnsi="Arial" w:cs="Arial"/>
        </w:rPr>
      </w:pPr>
      <w:r w:rsidRPr="004F4F81">
        <w:rPr>
          <w:rFonts w:ascii="Arial" w:hAnsi="Arial" w:cs="Arial"/>
        </w:rPr>
        <w:t xml:space="preserve"> </w:t>
      </w:r>
      <w:r w:rsidR="007E7B22" w:rsidRPr="004F4F81">
        <w:rPr>
          <w:rFonts w:ascii="Arial" w:hAnsi="Arial" w:cs="Arial"/>
        </w:rPr>
        <w:t xml:space="preserve">  </w:t>
      </w:r>
      <w:r w:rsidR="00F302F9" w:rsidRPr="004F4F81">
        <w:rPr>
          <w:rFonts w:ascii="Arial" w:hAnsi="Arial" w:cs="Arial"/>
        </w:rPr>
        <w:t xml:space="preserve">   </w:t>
      </w:r>
    </w:p>
    <w:p w14:paraId="70065A3B" w14:textId="13B5F72D" w:rsidR="007E7B22" w:rsidRPr="004F4F81" w:rsidRDefault="00B209C8">
      <w:pPr>
        <w:rPr>
          <w:rFonts w:ascii="Arial" w:hAnsi="Arial" w:cs="Arial"/>
          <w:b/>
          <w:bCs/>
        </w:rPr>
      </w:pPr>
      <w:r w:rsidRPr="004F4F81">
        <w:rPr>
          <w:rFonts w:ascii="Arial" w:hAnsi="Arial" w:cs="Arial"/>
          <w:b/>
          <w:bCs/>
        </w:rPr>
        <w:t>Person Specification</w:t>
      </w:r>
    </w:p>
    <w:p w14:paraId="14A964B7" w14:textId="77777777" w:rsidR="00A1685B" w:rsidRPr="004F4F81" w:rsidRDefault="00A1685B">
      <w:pPr>
        <w:rPr>
          <w:rFonts w:ascii="Arial" w:hAnsi="Arial" w:cs="Arial"/>
          <w:b/>
          <w:bCs/>
        </w:rPr>
      </w:pPr>
    </w:p>
    <w:p w14:paraId="6D3C97D5" w14:textId="69DE138B" w:rsidR="00B209C8" w:rsidRPr="004F4F81" w:rsidRDefault="00A1685B" w:rsidP="00A168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Ability to absorb and articulate complex regulatory requirements to a variety of stakeholders</w:t>
      </w:r>
    </w:p>
    <w:p w14:paraId="372BEECD" w14:textId="3BFEC270" w:rsidR="00A1685B" w:rsidRPr="004F4F81" w:rsidRDefault="00A1685B" w:rsidP="00A168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Ability to Chair meetings effectively</w:t>
      </w:r>
    </w:p>
    <w:p w14:paraId="48738140" w14:textId="1E5D4728" w:rsidR="00A1685B" w:rsidRPr="004F4F81" w:rsidRDefault="00A1685B" w:rsidP="00A168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Excellent Communication Skills</w:t>
      </w:r>
    </w:p>
    <w:p w14:paraId="69CDEF24" w14:textId="2318407C" w:rsidR="00A1685B" w:rsidRPr="004F4F81" w:rsidRDefault="00A1685B" w:rsidP="00A168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Ability to act as an advocate for securing sufficient resources for effective Fund operations</w:t>
      </w:r>
    </w:p>
    <w:p w14:paraId="51E81249" w14:textId="06AA5672" w:rsidR="00A1685B" w:rsidRPr="004F4F81" w:rsidRDefault="00A1685B" w:rsidP="00A168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Ability to work in partnership with Board members, Officers and the Committee.</w:t>
      </w:r>
    </w:p>
    <w:p w14:paraId="722962F4" w14:textId="7DB03E06" w:rsidR="00A1685B" w:rsidRPr="004F4F81" w:rsidRDefault="00A1685B" w:rsidP="00A168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Ability to ensure compliance with the Fund Conflicts of Interest Policy and process.</w:t>
      </w:r>
    </w:p>
    <w:p w14:paraId="0FE2ACCC" w14:textId="4F4F087C" w:rsidR="00A1685B" w:rsidRPr="004F4F81" w:rsidRDefault="00A1685B" w:rsidP="00A168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Ability to mentor Board colleagues as required.</w:t>
      </w:r>
    </w:p>
    <w:p w14:paraId="33E64B07" w14:textId="479835F7" w:rsidR="00A1685B" w:rsidRPr="004F4F81" w:rsidRDefault="00A1685B" w:rsidP="00A168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Ability to attend relevant training as required.</w:t>
      </w:r>
    </w:p>
    <w:p w14:paraId="5FB4EE6B" w14:textId="77777777" w:rsidR="00A1685B" w:rsidRPr="004F4F81" w:rsidRDefault="00A1685B">
      <w:pPr>
        <w:rPr>
          <w:rFonts w:ascii="Arial" w:hAnsi="Arial" w:cs="Arial"/>
        </w:rPr>
      </w:pPr>
    </w:p>
    <w:p w14:paraId="09D745B5" w14:textId="77777777" w:rsidR="00A1685B" w:rsidRPr="004F4F81" w:rsidRDefault="00A1685B">
      <w:pPr>
        <w:rPr>
          <w:rFonts w:ascii="Arial" w:hAnsi="Arial" w:cs="Arial"/>
        </w:rPr>
      </w:pPr>
    </w:p>
    <w:p w14:paraId="029696FA" w14:textId="77777777" w:rsidR="00A1685B" w:rsidRPr="004F4F81" w:rsidRDefault="00A1685B">
      <w:pPr>
        <w:rPr>
          <w:rFonts w:ascii="Arial" w:hAnsi="Arial" w:cs="Arial"/>
        </w:rPr>
      </w:pPr>
    </w:p>
    <w:p w14:paraId="0A7F2035" w14:textId="77777777" w:rsidR="00A1685B" w:rsidRPr="004F4F81" w:rsidRDefault="00A1685B">
      <w:pPr>
        <w:rPr>
          <w:rFonts w:ascii="Arial" w:hAnsi="Arial" w:cs="Arial"/>
        </w:rPr>
      </w:pPr>
    </w:p>
    <w:p w14:paraId="635475F1" w14:textId="712680EA" w:rsidR="00B209C8" w:rsidRPr="004F4F81" w:rsidRDefault="00A1685B">
      <w:pPr>
        <w:rPr>
          <w:rFonts w:ascii="Arial" w:hAnsi="Arial" w:cs="Arial"/>
          <w:b/>
          <w:bCs/>
        </w:rPr>
      </w:pPr>
      <w:r w:rsidRPr="004F4F81">
        <w:rPr>
          <w:rFonts w:ascii="Arial" w:hAnsi="Arial" w:cs="Arial"/>
          <w:b/>
          <w:bCs/>
        </w:rPr>
        <w:t>Experience / Qualifications</w:t>
      </w:r>
    </w:p>
    <w:p w14:paraId="4BCC11AD" w14:textId="54B5848D" w:rsidR="00B209C8" w:rsidRPr="004F4F81" w:rsidRDefault="00B209C8" w:rsidP="00B209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Substantial experience of the operation of the LGPS</w:t>
      </w:r>
    </w:p>
    <w:p w14:paraId="01E732E5" w14:textId="3E413FD5" w:rsidR="00B209C8" w:rsidRPr="004F4F81" w:rsidRDefault="00B209C8" w:rsidP="00B209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Comprehensive knowledge of the wider pensions landscape</w:t>
      </w:r>
    </w:p>
    <w:p w14:paraId="2EBB8DDA" w14:textId="5C56F57E" w:rsidR="00B209C8" w:rsidRPr="004F4F81" w:rsidRDefault="00B209C8" w:rsidP="00B209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 xml:space="preserve">Membership of a related professional body </w:t>
      </w:r>
      <w:r w:rsidR="00312270" w:rsidRPr="004F4F81">
        <w:rPr>
          <w:rFonts w:ascii="Arial" w:hAnsi="Arial" w:cs="Arial"/>
        </w:rPr>
        <w:t>or relevant experience</w:t>
      </w:r>
    </w:p>
    <w:p w14:paraId="239EA7AF" w14:textId="51680833" w:rsidR="00B209C8" w:rsidRPr="004F4F81" w:rsidRDefault="00B209C8" w:rsidP="00B209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F4F81">
        <w:rPr>
          <w:rFonts w:ascii="Arial" w:hAnsi="Arial" w:cs="Arial"/>
        </w:rPr>
        <w:t>Experience of undertaking chairing duties</w:t>
      </w:r>
    </w:p>
    <w:p w14:paraId="2BA64388" w14:textId="77777777" w:rsidR="00B209C8" w:rsidRPr="004F4F81" w:rsidRDefault="00B209C8" w:rsidP="00A1685B">
      <w:pPr>
        <w:pStyle w:val="ListParagraph"/>
        <w:rPr>
          <w:rFonts w:ascii="Arial" w:hAnsi="Arial" w:cs="Arial"/>
        </w:rPr>
      </w:pPr>
    </w:p>
    <w:p w14:paraId="44F5DC99" w14:textId="77777777" w:rsidR="00B209C8" w:rsidRPr="004F4F81" w:rsidRDefault="00B209C8" w:rsidP="00B209C8">
      <w:pPr>
        <w:pStyle w:val="ListParagraph"/>
        <w:rPr>
          <w:rFonts w:ascii="Arial" w:hAnsi="Arial" w:cs="Arial"/>
          <w:i/>
          <w:iCs/>
          <w:color w:val="00B050"/>
        </w:rPr>
      </w:pPr>
    </w:p>
    <w:sectPr w:rsidR="00B209C8" w:rsidRPr="004F4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3BA"/>
    <w:multiLevelType w:val="hybridMultilevel"/>
    <w:tmpl w:val="B48A9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45B6"/>
    <w:multiLevelType w:val="hybridMultilevel"/>
    <w:tmpl w:val="1DACD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711E"/>
    <w:multiLevelType w:val="hybridMultilevel"/>
    <w:tmpl w:val="6F601B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6D90"/>
    <w:multiLevelType w:val="hybridMultilevel"/>
    <w:tmpl w:val="B61E2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65063">
    <w:abstractNumId w:val="0"/>
  </w:num>
  <w:num w:numId="2" w16cid:durableId="1873616912">
    <w:abstractNumId w:val="2"/>
  </w:num>
  <w:num w:numId="3" w16cid:durableId="1251890295">
    <w:abstractNumId w:val="1"/>
  </w:num>
  <w:num w:numId="4" w16cid:durableId="2063284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F9"/>
    <w:rsid w:val="00213E35"/>
    <w:rsid w:val="002D1220"/>
    <w:rsid w:val="00312270"/>
    <w:rsid w:val="00370D01"/>
    <w:rsid w:val="00394B79"/>
    <w:rsid w:val="004F4F81"/>
    <w:rsid w:val="007E7B22"/>
    <w:rsid w:val="00935CA0"/>
    <w:rsid w:val="00A1685B"/>
    <w:rsid w:val="00AE65A6"/>
    <w:rsid w:val="00B15744"/>
    <w:rsid w:val="00B209C8"/>
    <w:rsid w:val="00E05C2C"/>
    <w:rsid w:val="00E12898"/>
    <w:rsid w:val="00E501A8"/>
    <w:rsid w:val="00F3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5772"/>
  <w15:chartTrackingRefBased/>
  <w15:docId w15:val="{C19FAF0A-7B9C-40E1-A52C-50A0367A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2F9"/>
    <w:rPr>
      <w:b/>
      <w:bCs/>
      <w:smallCaps/>
      <w:color w:val="0F4761" w:themeColor="accent1" w:themeShade="BF"/>
      <w:spacing w:val="5"/>
    </w:rPr>
  </w:style>
  <w:style w:type="character" w:customStyle="1" w:styleId="legaddition">
    <w:name w:val="legaddition"/>
    <w:basedOn w:val="DefaultParagraphFont"/>
    <w:rsid w:val="00AE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Croydon Council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Ahwieh, Joy</cp:lastModifiedBy>
  <cp:revision>3</cp:revision>
  <dcterms:created xsi:type="dcterms:W3CDTF">2025-07-07T09:49:00Z</dcterms:created>
  <dcterms:modified xsi:type="dcterms:W3CDTF">2025-09-19T13:40:00Z</dcterms:modified>
</cp:coreProperties>
</file>