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6799"/>
        <w:gridCol w:w="3686"/>
      </w:tblGrid>
      <w:tr w:rsidR="00B22BEE" w:rsidRPr="00B22BEE" w14:paraId="1FE0ECF7" w14:textId="77777777" w:rsidTr="00EB7FD2">
        <w:tc>
          <w:tcPr>
            <w:tcW w:w="10485" w:type="dxa"/>
            <w:gridSpan w:val="2"/>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EB7FD2">
        <w:tc>
          <w:tcPr>
            <w:tcW w:w="6799" w:type="dxa"/>
            <w:shd w:val="clear" w:color="auto" w:fill="E2EFD9" w:themeFill="accent6" w:themeFillTint="33"/>
          </w:tcPr>
          <w:p w14:paraId="12EF91C8" w14:textId="139D9198"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EB7FD2">
              <w:rPr>
                <w:rFonts w:ascii="Arial" w:hAnsi="Arial" w:cs="Arial"/>
                <w:b/>
                <w:sz w:val="22"/>
                <w:szCs w:val="22"/>
              </w:rPr>
              <w:t>Trainee Financial Inclusion Officer</w:t>
            </w:r>
          </w:p>
        </w:tc>
        <w:tc>
          <w:tcPr>
            <w:tcW w:w="3686" w:type="dxa"/>
            <w:shd w:val="clear" w:color="auto" w:fill="E2EFD9" w:themeFill="accent6" w:themeFillTint="33"/>
          </w:tcPr>
          <w:p w14:paraId="0BB8552A" w14:textId="3AE613BD"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EB7FD2">
              <w:rPr>
                <w:rFonts w:ascii="Arial" w:hAnsi="Arial" w:cs="Arial"/>
                <w:b/>
                <w:sz w:val="22"/>
                <w:szCs w:val="22"/>
              </w:rPr>
              <w:t>TFIO</w:t>
            </w:r>
          </w:p>
        </w:tc>
      </w:tr>
      <w:tr w:rsidR="00B22BEE" w:rsidRPr="00B22BEE" w14:paraId="63A52AF9" w14:textId="77777777" w:rsidTr="00EB7FD2">
        <w:tc>
          <w:tcPr>
            <w:tcW w:w="6799"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Bishops’ College Churchgate Cheshunt Herts </w:t>
            </w:r>
          </w:p>
        </w:tc>
        <w:tc>
          <w:tcPr>
            <w:tcW w:w="3686" w:type="dxa"/>
            <w:shd w:val="clear" w:color="auto" w:fill="E2EFD9" w:themeFill="accent6" w:themeFillTint="33"/>
          </w:tcPr>
          <w:p w14:paraId="76A2EE84" w14:textId="3F507E3E" w:rsidR="00B22BEE" w:rsidRPr="00D60F2B" w:rsidRDefault="002B0922" w:rsidP="00B8025E">
            <w:pPr>
              <w:rPr>
                <w:rFonts w:ascii="Arial" w:hAnsi="Arial" w:cs="Arial"/>
                <w:b/>
                <w:sz w:val="22"/>
                <w:szCs w:val="22"/>
              </w:rPr>
            </w:pPr>
            <w:r>
              <w:rPr>
                <w:rFonts w:ascii="Arial" w:hAnsi="Arial" w:cs="Arial"/>
                <w:b/>
                <w:sz w:val="22"/>
                <w:szCs w:val="22"/>
              </w:rPr>
              <w:t>Hybrid: Yes</w:t>
            </w:r>
          </w:p>
        </w:tc>
      </w:tr>
      <w:tr w:rsidR="00B22BEE" w:rsidRPr="00B22BEE" w14:paraId="72E6DE23" w14:textId="77777777" w:rsidTr="00EB7FD2">
        <w:tc>
          <w:tcPr>
            <w:tcW w:w="10485" w:type="dxa"/>
            <w:gridSpan w:val="2"/>
            <w:shd w:val="clear" w:color="auto" w:fill="E2EFD9" w:themeFill="accent6" w:themeFillTint="33"/>
          </w:tcPr>
          <w:p w14:paraId="526E7762" w14:textId="13C1E3FC"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EB7FD2">
              <w:rPr>
                <w:rFonts w:ascii="Arial" w:hAnsi="Arial" w:cs="Arial"/>
                <w:b/>
                <w:sz w:val="22"/>
                <w:szCs w:val="22"/>
              </w:rPr>
              <w:t>Housing advice service</w:t>
            </w:r>
          </w:p>
        </w:tc>
      </w:tr>
      <w:tr w:rsidR="00B22BEE" w:rsidRPr="00B22BEE" w14:paraId="71B3172B" w14:textId="77777777" w:rsidTr="00EB7FD2">
        <w:tc>
          <w:tcPr>
            <w:tcW w:w="10485" w:type="dxa"/>
            <w:gridSpan w:val="2"/>
            <w:shd w:val="clear" w:color="auto" w:fill="E2EFD9" w:themeFill="accent6" w:themeFillTint="33"/>
          </w:tcPr>
          <w:p w14:paraId="1DE4E85E" w14:textId="23B52E71" w:rsidR="00B22BEE" w:rsidRPr="00EB7FD2" w:rsidRDefault="00B22BEE" w:rsidP="00B8025E">
            <w:pPr>
              <w:rPr>
                <w:rFonts w:ascii="Arial" w:hAnsi="Arial" w:cs="Arial"/>
                <w:sz w:val="22"/>
                <w:szCs w:val="22"/>
              </w:rPr>
            </w:pPr>
            <w:r w:rsidRPr="00EB7FD2">
              <w:rPr>
                <w:rFonts w:ascii="Arial" w:hAnsi="Arial" w:cs="Arial"/>
                <w:b/>
                <w:sz w:val="22"/>
                <w:szCs w:val="22"/>
              </w:rPr>
              <w:t>Reports to:</w:t>
            </w:r>
            <w:r w:rsidR="00EB7FD2" w:rsidRPr="00EB7FD2">
              <w:rPr>
                <w:rFonts w:ascii="Arial" w:hAnsi="Arial" w:cs="Arial"/>
                <w:b/>
                <w:sz w:val="22"/>
                <w:szCs w:val="22"/>
              </w:rPr>
              <w:t xml:space="preserve"> Senior Financial Inclusion Officer</w:t>
            </w:r>
          </w:p>
        </w:tc>
      </w:tr>
      <w:tr w:rsidR="00B22BEE" w:rsidRPr="00B22BEE" w14:paraId="6E1E3392" w14:textId="77777777" w:rsidTr="00EB7FD2">
        <w:tc>
          <w:tcPr>
            <w:tcW w:w="10485" w:type="dxa"/>
            <w:gridSpan w:val="2"/>
            <w:shd w:val="clear" w:color="auto" w:fill="E2EFD9" w:themeFill="accent6" w:themeFillTint="33"/>
          </w:tcPr>
          <w:p w14:paraId="6F60C2CD" w14:textId="73508AFE" w:rsidR="00B22BEE" w:rsidRPr="00EB7FD2" w:rsidRDefault="00B22BEE" w:rsidP="002B0922">
            <w:pPr>
              <w:tabs>
                <w:tab w:val="left" w:pos="0"/>
                <w:tab w:val="left" w:pos="3168"/>
                <w:tab w:val="left" w:pos="3600"/>
              </w:tabs>
              <w:rPr>
                <w:rFonts w:ascii="Arial" w:eastAsia="Times New Roman" w:hAnsi="Arial" w:cs="Arial"/>
                <w:sz w:val="22"/>
                <w:szCs w:val="22"/>
                <w:lang w:val="en-US"/>
              </w:rPr>
            </w:pPr>
            <w:r w:rsidRPr="00EB7FD2">
              <w:rPr>
                <w:rFonts w:ascii="Arial" w:hAnsi="Arial" w:cs="Arial"/>
                <w:b/>
                <w:sz w:val="22"/>
                <w:szCs w:val="22"/>
              </w:rPr>
              <w:t xml:space="preserve">Full time: </w:t>
            </w:r>
            <w:r w:rsidR="00F215FC" w:rsidRPr="00EB7FD2">
              <w:rPr>
                <w:rFonts w:ascii="Arial" w:eastAsia="Times New Roman" w:hAnsi="Arial" w:cs="Arial"/>
                <w:b/>
                <w:bCs/>
                <w:sz w:val="22"/>
                <w:szCs w:val="22"/>
                <w:lang w:val="en-US"/>
              </w:rPr>
              <w:t>37 within a scheme of flexible working hours</w:t>
            </w:r>
          </w:p>
        </w:tc>
      </w:tr>
      <w:tr w:rsidR="00636E00" w:rsidRPr="00B22BEE" w14:paraId="7256E656" w14:textId="77777777" w:rsidTr="00EB7FD2">
        <w:tc>
          <w:tcPr>
            <w:tcW w:w="10485" w:type="dxa"/>
            <w:gridSpan w:val="2"/>
            <w:shd w:val="clear" w:color="auto" w:fill="E2EFD9" w:themeFill="accent6" w:themeFillTint="33"/>
          </w:tcPr>
          <w:p w14:paraId="17AD670C" w14:textId="7857C6D2"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EB7FD2">
              <w:rPr>
                <w:rFonts w:ascii="Arial" w:hAnsi="Arial" w:cs="Arial"/>
                <w:b/>
                <w:sz w:val="22"/>
                <w:szCs w:val="22"/>
              </w:rPr>
              <w:t>H37</w:t>
            </w:r>
          </w:p>
        </w:tc>
      </w:tr>
      <w:tr w:rsidR="00636E00" w:rsidRPr="00B22BEE" w14:paraId="529C1B9B" w14:textId="77777777" w:rsidTr="00EB7FD2">
        <w:tc>
          <w:tcPr>
            <w:tcW w:w="10485" w:type="dxa"/>
            <w:gridSpan w:val="2"/>
            <w:shd w:val="clear" w:color="auto" w:fill="E2EFD9" w:themeFill="accent6" w:themeFillTint="33"/>
          </w:tcPr>
          <w:p w14:paraId="0ACF6D2D" w14:textId="6CA367E5"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00EB7FD2" w:rsidRPr="00EB7FD2">
              <w:rPr>
                <w:rFonts w:ascii="Arial" w:hAnsi="Arial" w:cs="Arial"/>
                <w:b/>
                <w:sz w:val="22"/>
                <w:szCs w:val="22"/>
              </w:rPr>
              <w:t>No</w:t>
            </w:r>
          </w:p>
        </w:tc>
      </w:tr>
      <w:tr w:rsidR="00F215FC" w:rsidRPr="00B22BEE" w14:paraId="16607B0E" w14:textId="77777777" w:rsidTr="00EB7FD2">
        <w:tc>
          <w:tcPr>
            <w:tcW w:w="10485" w:type="dxa"/>
            <w:gridSpan w:val="2"/>
            <w:tcBorders>
              <w:bottom w:val="nil"/>
            </w:tcBorders>
            <w:shd w:val="clear" w:color="auto" w:fill="E2EFD9" w:themeFill="accent6" w:themeFillTint="33"/>
          </w:tcPr>
          <w:p w14:paraId="49DBF55B" w14:textId="7F727C08" w:rsidR="00F215FC" w:rsidRDefault="00E73E44" w:rsidP="00B8025E">
            <w:pPr>
              <w:rPr>
                <w:rFonts w:ascii="Arial" w:hAnsi="Arial" w:cs="Arial"/>
                <w:b/>
                <w:sz w:val="22"/>
                <w:szCs w:val="22"/>
              </w:rPr>
            </w:pPr>
            <w:r>
              <w:rPr>
                <w:rFonts w:ascii="Arial" w:hAnsi="Arial" w:cs="Arial"/>
                <w:b/>
                <w:sz w:val="22"/>
                <w:szCs w:val="22"/>
              </w:rPr>
              <w:t xml:space="preserve">Car: </w:t>
            </w:r>
            <w:r w:rsidRPr="00EB7FD2">
              <w:rPr>
                <w:rFonts w:ascii="Arial" w:hAnsi="Arial" w:cs="Arial"/>
                <w:b/>
                <w:sz w:val="22"/>
                <w:szCs w:val="22"/>
              </w:rPr>
              <w:t>Yes</w:t>
            </w:r>
            <w:r w:rsidR="00EB7FD2" w:rsidRPr="00EB7FD2">
              <w:rPr>
                <w:rFonts w:ascii="Arial" w:hAnsi="Arial" w:cs="Arial"/>
                <w:b/>
                <w:sz w:val="22"/>
                <w:szCs w:val="22"/>
              </w:rPr>
              <w:t>-</w:t>
            </w:r>
            <w:r w:rsidRPr="00EB7FD2">
              <w:rPr>
                <w:rFonts w:ascii="Arial" w:hAnsi="Arial" w:cs="Arial"/>
                <w:b/>
                <w:sz w:val="22"/>
                <w:szCs w:val="22"/>
              </w:rPr>
              <w:t xml:space="preserve"> mileage rates paid in accordance with HM Revenue services</w:t>
            </w:r>
          </w:p>
        </w:tc>
      </w:tr>
      <w:tr w:rsidR="00F215FC" w:rsidRPr="00B22BEE" w14:paraId="32B07C9E" w14:textId="77777777" w:rsidTr="00EB7FD2">
        <w:tc>
          <w:tcPr>
            <w:tcW w:w="10485" w:type="dxa"/>
            <w:gridSpan w:val="2"/>
            <w:tcBorders>
              <w:top w:val="nil"/>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B7FD2">
        <w:tc>
          <w:tcPr>
            <w:tcW w:w="10485" w:type="dxa"/>
            <w:gridSpan w:val="2"/>
            <w:tcBorders>
              <w:top w:val="single" w:sz="4" w:space="0" w:color="auto"/>
            </w:tcBorders>
          </w:tcPr>
          <w:p w14:paraId="37A97963" w14:textId="370C7DDE" w:rsidR="00E73E44" w:rsidRDefault="00E73E44" w:rsidP="00B8025E">
            <w:pPr>
              <w:rPr>
                <w:rFonts w:ascii="Arial" w:hAnsi="Arial" w:cs="Arial"/>
                <w:b/>
                <w:sz w:val="22"/>
                <w:szCs w:val="22"/>
              </w:rPr>
            </w:pPr>
            <w:r>
              <w:rPr>
                <w:rFonts w:ascii="Arial" w:hAnsi="Arial" w:cs="Arial"/>
                <w:b/>
                <w:sz w:val="22"/>
                <w:szCs w:val="22"/>
              </w:rPr>
              <w:t>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joined up way, showing respect at all times and looking at innovative and forward thinking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EB7FD2">
        <w:tc>
          <w:tcPr>
            <w:tcW w:w="10485" w:type="dxa"/>
            <w:gridSpan w:val="2"/>
            <w:tcBorders>
              <w:top w:val="nil"/>
            </w:tcBorders>
          </w:tcPr>
          <w:p w14:paraId="146FE352" w14:textId="77777777" w:rsidR="00D60F2B" w:rsidRDefault="00D60F2B" w:rsidP="00694A48">
            <w:pPr>
              <w:ind w:right="33"/>
              <w:jc w:val="both"/>
              <w:rPr>
                <w:rFonts w:cs="Arial"/>
              </w:rPr>
            </w:pPr>
            <w:r>
              <w:rPr>
                <w:rFonts w:ascii="Arial" w:hAnsi="Arial" w:cs="Arial"/>
                <w:b/>
                <w:sz w:val="22"/>
                <w:szCs w:val="22"/>
              </w:rPr>
              <w:t>Summary:</w:t>
            </w:r>
            <w:r w:rsidR="002B0922">
              <w:rPr>
                <w:rFonts w:cs="Arial"/>
              </w:rPr>
              <w:t xml:space="preserve"> </w:t>
            </w:r>
          </w:p>
          <w:p w14:paraId="1D7E40E5" w14:textId="77777777" w:rsidR="00EB7FD2" w:rsidRDefault="00EB7FD2" w:rsidP="00694A48">
            <w:pPr>
              <w:ind w:right="33"/>
              <w:jc w:val="both"/>
              <w:rPr>
                <w:rFonts w:cs="Arial"/>
                <w:bCs/>
              </w:rPr>
            </w:pPr>
          </w:p>
          <w:p w14:paraId="172CB804" w14:textId="730849A4" w:rsidR="00EB7FD2" w:rsidRPr="00EB7FD2" w:rsidRDefault="00EB7FD2" w:rsidP="00694A48">
            <w:pPr>
              <w:ind w:right="33"/>
              <w:jc w:val="both"/>
              <w:rPr>
                <w:rFonts w:ascii="Arial" w:hAnsi="Arial" w:cs="Arial"/>
                <w:b/>
                <w:sz w:val="22"/>
                <w:szCs w:val="22"/>
                <w:lang w:eastAsia="en-GB"/>
              </w:rPr>
            </w:pPr>
            <w:r w:rsidRPr="00EB7FD2">
              <w:rPr>
                <w:rFonts w:ascii="Arial" w:hAnsi="Arial" w:cs="Arial"/>
                <w:b/>
                <w:sz w:val="22"/>
                <w:szCs w:val="22"/>
                <w:lang w:eastAsia="en-GB"/>
              </w:rPr>
              <w:t>Job Outline</w:t>
            </w:r>
          </w:p>
          <w:p w14:paraId="23707ED5" w14:textId="77777777" w:rsidR="00EB7FD2" w:rsidRPr="00EB7FD2" w:rsidRDefault="00EB7FD2" w:rsidP="00EB7FD2">
            <w:pPr>
              <w:ind w:right="-331"/>
              <w:rPr>
                <w:rFonts w:ascii="Arial" w:hAnsi="Arial" w:cs="Arial"/>
                <w:bCs/>
                <w:sz w:val="22"/>
                <w:szCs w:val="22"/>
                <w:lang w:eastAsia="en-GB"/>
              </w:rPr>
            </w:pPr>
            <w:r w:rsidRPr="00EB7FD2">
              <w:rPr>
                <w:rFonts w:ascii="Arial" w:hAnsi="Arial" w:cs="Arial"/>
                <w:bCs/>
                <w:sz w:val="22"/>
                <w:szCs w:val="22"/>
                <w:lang w:eastAsia="en-GB"/>
              </w:rPr>
              <w:t>To assist and advise borough residents to ensure they obtain their full benefit entitlements.</w:t>
            </w:r>
          </w:p>
          <w:p w14:paraId="2DBE7424" w14:textId="77777777" w:rsidR="00EB7FD2" w:rsidRPr="00EB7FD2" w:rsidRDefault="00EB7FD2" w:rsidP="00EB7FD2">
            <w:pPr>
              <w:ind w:right="-331"/>
              <w:rPr>
                <w:rFonts w:ascii="Arial" w:hAnsi="Arial" w:cs="Arial"/>
                <w:bCs/>
                <w:sz w:val="22"/>
                <w:szCs w:val="22"/>
                <w:lang w:eastAsia="en-GB"/>
              </w:rPr>
            </w:pPr>
          </w:p>
          <w:p w14:paraId="7E7A5CD8" w14:textId="77777777" w:rsidR="00EB7FD2" w:rsidRPr="00EB7FD2" w:rsidRDefault="00EB7FD2" w:rsidP="00EB7FD2">
            <w:pPr>
              <w:ind w:right="-331"/>
              <w:rPr>
                <w:rFonts w:ascii="Arial" w:hAnsi="Arial" w:cs="Arial"/>
                <w:bCs/>
                <w:sz w:val="22"/>
                <w:szCs w:val="22"/>
                <w:lang w:eastAsia="en-GB"/>
              </w:rPr>
            </w:pPr>
            <w:r w:rsidRPr="00EB7FD2">
              <w:rPr>
                <w:rFonts w:ascii="Arial" w:hAnsi="Arial" w:cs="Arial"/>
                <w:bCs/>
                <w:sz w:val="22"/>
                <w:szCs w:val="22"/>
                <w:lang w:eastAsia="en-GB"/>
              </w:rPr>
              <w:t>To provide budgeting and financial support to homeless applicants within the context of the homeless legislation.</w:t>
            </w:r>
          </w:p>
          <w:p w14:paraId="3748CD85" w14:textId="77777777" w:rsidR="00EB7FD2" w:rsidRPr="00EB7FD2" w:rsidRDefault="00EB7FD2" w:rsidP="00EB7FD2">
            <w:pPr>
              <w:ind w:right="-331"/>
              <w:rPr>
                <w:rFonts w:ascii="Arial" w:hAnsi="Arial" w:cs="Arial"/>
                <w:bCs/>
                <w:sz w:val="22"/>
                <w:szCs w:val="22"/>
                <w:lang w:eastAsia="en-GB"/>
              </w:rPr>
            </w:pPr>
            <w:r w:rsidRPr="00EB7FD2">
              <w:rPr>
                <w:rFonts w:ascii="Arial" w:hAnsi="Arial" w:cs="Arial"/>
                <w:bCs/>
                <w:sz w:val="22"/>
                <w:szCs w:val="22"/>
                <w:lang w:eastAsia="en-GB"/>
              </w:rPr>
              <w:t xml:space="preserve"> </w:t>
            </w:r>
          </w:p>
          <w:p w14:paraId="7F013550" w14:textId="77777777" w:rsidR="00EB7FD2" w:rsidRPr="00EB7FD2" w:rsidRDefault="00EB7FD2" w:rsidP="00EB7FD2">
            <w:pPr>
              <w:ind w:right="-331"/>
              <w:rPr>
                <w:rFonts w:ascii="Arial" w:hAnsi="Arial" w:cs="Arial"/>
                <w:bCs/>
                <w:sz w:val="22"/>
                <w:szCs w:val="22"/>
                <w:lang w:eastAsia="en-GB"/>
              </w:rPr>
            </w:pPr>
            <w:r w:rsidRPr="00EB7FD2">
              <w:rPr>
                <w:rFonts w:ascii="Arial" w:hAnsi="Arial" w:cs="Arial"/>
                <w:bCs/>
                <w:sz w:val="22"/>
                <w:szCs w:val="22"/>
                <w:lang w:eastAsia="en-GB"/>
              </w:rPr>
              <w:t>To provide face to face or over the phone advice to support claimants who are affected by the benefit cap and assist with Discretionary Housing applications.</w:t>
            </w:r>
          </w:p>
          <w:p w14:paraId="6F911EDA" w14:textId="77777777" w:rsidR="00EB7FD2" w:rsidRDefault="00EB7FD2" w:rsidP="00EB7FD2">
            <w:pPr>
              <w:ind w:right="-331"/>
              <w:rPr>
                <w:rFonts w:cs="Arial"/>
              </w:rPr>
            </w:pPr>
          </w:p>
          <w:p w14:paraId="5F0974F0" w14:textId="1821DBDA" w:rsidR="00EB7FD2" w:rsidRPr="00EB7FD2" w:rsidRDefault="00EB7FD2" w:rsidP="00EB7FD2">
            <w:pPr>
              <w:ind w:right="-331"/>
              <w:rPr>
                <w:rFonts w:ascii="Arial" w:hAnsi="Arial" w:cs="Arial"/>
                <w:b/>
                <w:sz w:val="22"/>
                <w:szCs w:val="22"/>
                <w:lang w:eastAsia="en-GB"/>
              </w:rPr>
            </w:pPr>
            <w:r w:rsidRPr="00EB7FD2">
              <w:rPr>
                <w:rFonts w:ascii="Arial" w:hAnsi="Arial" w:cs="Arial"/>
                <w:b/>
                <w:sz w:val="22"/>
                <w:szCs w:val="22"/>
                <w:lang w:eastAsia="en-GB"/>
              </w:rPr>
              <w:t>Duties</w:t>
            </w:r>
          </w:p>
          <w:p w14:paraId="0611B1E8" w14:textId="77777777" w:rsidR="00EB7FD2" w:rsidRDefault="00EB7FD2" w:rsidP="00EB7FD2">
            <w:pPr>
              <w:ind w:right="-331"/>
              <w:rPr>
                <w:rFonts w:cs="Arial"/>
              </w:rPr>
            </w:pPr>
          </w:p>
          <w:p w14:paraId="2F013E5E" w14:textId="77777777" w:rsidR="00EB7FD2" w:rsidRPr="00EB7FD2" w:rsidRDefault="00EB7FD2" w:rsidP="00EB7FD2">
            <w:pPr>
              <w:ind w:right="-331"/>
              <w:rPr>
                <w:rFonts w:ascii="Arial" w:hAnsi="Arial" w:cs="Arial"/>
                <w:sz w:val="22"/>
                <w:szCs w:val="22"/>
              </w:rPr>
            </w:pPr>
            <w:r w:rsidRPr="00EB7FD2">
              <w:rPr>
                <w:rFonts w:ascii="Arial" w:hAnsi="Arial" w:cs="Arial"/>
                <w:sz w:val="22"/>
                <w:szCs w:val="22"/>
              </w:rPr>
              <w:t>Provide advice and assistance in areas such as welfare benefits and money advice and ensure claimants are linked into appropriate agencies.</w:t>
            </w:r>
          </w:p>
          <w:p w14:paraId="5DC26C3F" w14:textId="77777777" w:rsidR="00EB7FD2" w:rsidRPr="00584AC2" w:rsidRDefault="00EB7FD2" w:rsidP="00EB7FD2">
            <w:pPr>
              <w:ind w:right="-331"/>
              <w:rPr>
                <w:rFonts w:cs="Arial"/>
              </w:rPr>
            </w:pPr>
          </w:p>
          <w:p w14:paraId="06BF8D66" w14:textId="71CC34AA" w:rsidR="00EB7FD2" w:rsidRPr="00EB7FD2" w:rsidRDefault="00EB7FD2" w:rsidP="00EB7FD2">
            <w:pPr>
              <w:ind w:right="-331"/>
              <w:rPr>
                <w:rFonts w:ascii="Arial" w:hAnsi="Arial" w:cs="Arial"/>
                <w:sz w:val="22"/>
                <w:szCs w:val="22"/>
              </w:rPr>
            </w:pPr>
            <w:r w:rsidRPr="00EB7FD2">
              <w:rPr>
                <w:rFonts w:ascii="Arial" w:hAnsi="Arial" w:cs="Arial"/>
                <w:sz w:val="22"/>
                <w:szCs w:val="22"/>
              </w:rPr>
              <w:t>Maintain detailed and accurate case records on a case management system to support statistical monitoring and evaluation.</w:t>
            </w:r>
          </w:p>
          <w:p w14:paraId="7DA033BB" w14:textId="77777777" w:rsidR="00EB7FD2" w:rsidRPr="00D929F9" w:rsidRDefault="00EB7FD2" w:rsidP="00EB7FD2">
            <w:pPr>
              <w:ind w:right="-331"/>
              <w:rPr>
                <w:rFonts w:cs="Arial"/>
              </w:rPr>
            </w:pPr>
          </w:p>
          <w:p w14:paraId="05ED7730" w14:textId="5A18C7AF" w:rsidR="00EB7FD2" w:rsidRPr="00EB7FD2" w:rsidRDefault="00EB7FD2" w:rsidP="00EB7FD2">
            <w:pPr>
              <w:ind w:right="-331"/>
              <w:rPr>
                <w:rFonts w:ascii="Arial" w:hAnsi="Arial" w:cs="Arial"/>
                <w:sz w:val="22"/>
                <w:szCs w:val="22"/>
              </w:rPr>
            </w:pPr>
            <w:r w:rsidRPr="00EB7FD2">
              <w:rPr>
                <w:rFonts w:ascii="Arial" w:hAnsi="Arial" w:cs="Arial"/>
                <w:sz w:val="22"/>
                <w:szCs w:val="22"/>
              </w:rPr>
              <w:t>Carry out case work to include advocacy and system navigation to more vulnerable clients.</w:t>
            </w:r>
          </w:p>
          <w:p w14:paraId="02020F6F" w14:textId="77777777" w:rsidR="00EB7FD2" w:rsidRPr="00AC7B76" w:rsidRDefault="00EB7FD2" w:rsidP="00EB7FD2">
            <w:pPr>
              <w:ind w:right="-331"/>
              <w:rPr>
                <w:rFonts w:cs="Arial"/>
              </w:rPr>
            </w:pPr>
          </w:p>
          <w:p w14:paraId="2416C222" w14:textId="77777777" w:rsidR="00EB7FD2" w:rsidRPr="00EB7FD2" w:rsidRDefault="00EB7FD2" w:rsidP="00EB7FD2">
            <w:pPr>
              <w:ind w:right="-331"/>
              <w:rPr>
                <w:rFonts w:ascii="Arial" w:hAnsi="Arial" w:cs="Arial"/>
                <w:sz w:val="22"/>
                <w:szCs w:val="22"/>
              </w:rPr>
            </w:pPr>
            <w:r w:rsidRPr="00EB7FD2">
              <w:rPr>
                <w:rFonts w:ascii="Arial" w:hAnsi="Arial" w:cs="Arial"/>
                <w:sz w:val="22"/>
                <w:szCs w:val="22"/>
              </w:rPr>
              <w:t>To develop and maintain effective external relationships with partner organisations.</w:t>
            </w:r>
          </w:p>
          <w:p w14:paraId="18225DA9" w14:textId="77777777" w:rsidR="00EB7FD2" w:rsidRPr="00C757BD" w:rsidRDefault="00EB7FD2" w:rsidP="00EB7FD2">
            <w:pPr>
              <w:ind w:right="-331"/>
              <w:rPr>
                <w:rFonts w:cs="Arial"/>
              </w:rPr>
            </w:pPr>
          </w:p>
          <w:p w14:paraId="796FD590" w14:textId="77777777" w:rsidR="00EB7FD2" w:rsidRPr="00EB7FD2" w:rsidRDefault="00EB7FD2" w:rsidP="00EB7FD2">
            <w:pPr>
              <w:ind w:right="-331"/>
              <w:rPr>
                <w:rFonts w:ascii="Arial" w:hAnsi="Arial" w:cs="Arial"/>
                <w:sz w:val="22"/>
                <w:szCs w:val="22"/>
              </w:rPr>
            </w:pPr>
            <w:r w:rsidRPr="00EB7FD2">
              <w:rPr>
                <w:rFonts w:ascii="Arial" w:hAnsi="Arial" w:cs="Arial"/>
                <w:sz w:val="22"/>
                <w:szCs w:val="22"/>
              </w:rPr>
              <w:t>Undertake financial assessments and provide advice and support to clients referred by the Housing Advice Service.</w:t>
            </w:r>
          </w:p>
          <w:p w14:paraId="533D121B" w14:textId="77777777" w:rsidR="00EB7FD2" w:rsidRPr="00C757BD" w:rsidRDefault="00EB7FD2" w:rsidP="00EB7FD2">
            <w:pPr>
              <w:ind w:right="-331"/>
              <w:rPr>
                <w:rFonts w:cs="Arial"/>
              </w:rPr>
            </w:pPr>
          </w:p>
          <w:p w14:paraId="68EC8094" w14:textId="77777777" w:rsidR="00EB7FD2" w:rsidRPr="00EB7FD2" w:rsidRDefault="00EB7FD2" w:rsidP="00EB7FD2">
            <w:pPr>
              <w:ind w:right="-331"/>
              <w:rPr>
                <w:rFonts w:ascii="Arial" w:hAnsi="Arial" w:cs="Arial"/>
                <w:sz w:val="22"/>
                <w:szCs w:val="22"/>
              </w:rPr>
            </w:pPr>
            <w:r w:rsidRPr="00EB7FD2">
              <w:rPr>
                <w:rFonts w:ascii="Arial" w:hAnsi="Arial" w:cs="Arial"/>
                <w:sz w:val="22"/>
                <w:szCs w:val="22"/>
              </w:rPr>
              <w:t>Acting as a point of contact with DWP on UC and Money advice agenda</w:t>
            </w:r>
          </w:p>
          <w:p w14:paraId="540DA7BF" w14:textId="77777777" w:rsidR="00EB7FD2" w:rsidRPr="004371B0" w:rsidRDefault="00EB7FD2" w:rsidP="00EB7FD2">
            <w:pPr>
              <w:ind w:right="-331"/>
              <w:rPr>
                <w:rFonts w:cs="Arial"/>
              </w:rPr>
            </w:pPr>
          </w:p>
          <w:p w14:paraId="15584A8B" w14:textId="1E364BB3" w:rsidR="00EB7FD2" w:rsidRPr="00EB7FD2" w:rsidRDefault="00EB7FD2" w:rsidP="00EB7FD2">
            <w:pPr>
              <w:ind w:right="-331"/>
              <w:rPr>
                <w:rFonts w:ascii="Arial" w:hAnsi="Arial" w:cs="Arial"/>
                <w:sz w:val="22"/>
                <w:szCs w:val="22"/>
              </w:rPr>
            </w:pPr>
            <w:r w:rsidRPr="00EB7FD2">
              <w:rPr>
                <w:rFonts w:ascii="Arial" w:hAnsi="Arial" w:cs="Arial"/>
                <w:sz w:val="22"/>
                <w:szCs w:val="22"/>
              </w:rPr>
              <w:t xml:space="preserve">Refer cases of suspected fraud to the relevant departments </w:t>
            </w:r>
          </w:p>
          <w:p w14:paraId="7730725C" w14:textId="77777777" w:rsidR="00EB7FD2" w:rsidRPr="00EB7FD2" w:rsidRDefault="00EB7FD2" w:rsidP="00EB7FD2">
            <w:pPr>
              <w:ind w:right="-331"/>
              <w:rPr>
                <w:rFonts w:ascii="Arial" w:hAnsi="Arial" w:cs="Arial"/>
                <w:sz w:val="22"/>
                <w:szCs w:val="22"/>
              </w:rPr>
            </w:pPr>
            <w:r w:rsidRPr="00EB7FD2">
              <w:rPr>
                <w:rFonts w:ascii="Arial" w:hAnsi="Arial" w:cs="Arial"/>
                <w:sz w:val="22"/>
                <w:szCs w:val="22"/>
              </w:rPr>
              <w:t>Any other duties commensurate with the grade of the post.</w:t>
            </w:r>
          </w:p>
          <w:p w14:paraId="6827A938" w14:textId="77777777" w:rsidR="00EB7FD2" w:rsidRDefault="00EB7FD2" w:rsidP="00EB7FD2">
            <w:pPr>
              <w:ind w:right="-331"/>
              <w:rPr>
                <w:rFonts w:cs="Arial"/>
              </w:rPr>
            </w:pPr>
          </w:p>
          <w:p w14:paraId="7568E133" w14:textId="1CB1981F" w:rsidR="00EB7FD2" w:rsidRPr="00D60F2B" w:rsidRDefault="00EB7FD2" w:rsidP="00694A48">
            <w:pPr>
              <w:ind w:right="33"/>
              <w:jc w:val="both"/>
              <w:rPr>
                <w:rFonts w:ascii="Arial" w:hAnsi="Arial" w:cs="Arial"/>
                <w:b/>
                <w:sz w:val="22"/>
                <w:szCs w:val="22"/>
              </w:rPr>
            </w:pPr>
          </w:p>
        </w:tc>
      </w:tr>
      <w:tr w:rsidR="00B22BEE" w:rsidRPr="00B22BEE" w14:paraId="5A9F931B" w14:textId="77777777" w:rsidTr="00EB7FD2">
        <w:tc>
          <w:tcPr>
            <w:tcW w:w="10485" w:type="dxa"/>
            <w:gridSpan w:val="2"/>
            <w:tcBorders>
              <w:top w:val="single" w:sz="4" w:space="0" w:color="auto"/>
            </w:tcBorders>
          </w:tcPr>
          <w:p w14:paraId="5726DA61" w14:textId="77777777" w:rsidR="00636E00" w:rsidRP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lastRenderedPageBreak/>
              <w:t>Diversity, Equality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EB7FD2">
        <w:tc>
          <w:tcPr>
            <w:tcW w:w="10485" w:type="dxa"/>
            <w:gridSpan w:val="2"/>
          </w:tcPr>
          <w:p w14:paraId="36DB6227" w14:textId="77777777" w:rsidR="00F215FC" w:rsidRDefault="00F215FC" w:rsidP="00636E00">
            <w:pPr>
              <w:jc w:val="both"/>
              <w:rPr>
                <w:rFonts w:ascii="Arial" w:eastAsia="Times New Roman" w:hAnsi="Arial" w:cs="Arial"/>
                <w:b/>
                <w:sz w:val="22"/>
                <w:szCs w:val="22"/>
                <w:lang w:eastAsia="en-GB"/>
              </w:rPr>
            </w:pPr>
          </w:p>
          <w:p w14:paraId="195148DD" w14:textId="77777777"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mployment checks required for this post</w:t>
            </w:r>
            <w:r w:rsidRPr="00636E00">
              <w:rPr>
                <w:rFonts w:ascii="Arial" w:eastAsia="Times New Roman" w:hAnsi="Arial" w:cs="Arial"/>
                <w:b/>
                <w:sz w:val="22"/>
                <w:szCs w:val="22"/>
                <w:lang w:eastAsia="en-GB"/>
              </w:rPr>
              <w:t xml:space="preserve"> </w:t>
            </w:r>
          </w:p>
          <w:p w14:paraId="5E64FFD4" w14:textId="77777777" w:rsidR="00B22BEE" w:rsidRPr="00E73E44"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documents you have provide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tc>
      </w:tr>
      <w:tr w:rsidR="00636E00" w:rsidRPr="00B22BEE" w14:paraId="067DA8CE" w14:textId="77777777" w:rsidTr="00EB7FD2">
        <w:tc>
          <w:tcPr>
            <w:tcW w:w="10485" w:type="dxa"/>
            <w:gridSpan w:val="2"/>
          </w:tcPr>
          <w:p w14:paraId="0B461F20" w14:textId="77777777" w:rsidR="00F215FC" w:rsidRDefault="00F215FC" w:rsidP="00636E00">
            <w:pPr>
              <w:ind w:right="-218"/>
              <w:jc w:val="both"/>
              <w:rPr>
                <w:rFonts w:ascii="Arial" w:eastAsia="Times New Roman" w:hAnsi="Arial" w:cs="Arial"/>
                <w:b/>
                <w:sz w:val="22"/>
                <w:szCs w:val="22"/>
                <w:lang w:eastAsia="en-GB"/>
              </w:rPr>
            </w:pPr>
          </w:p>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C05D0C9" w14:textId="77777777" w:rsidR="00636E00" w:rsidRPr="00636E00" w:rsidRDefault="00636E00" w:rsidP="00636E00">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0B1303C" w14:textId="77777777" w:rsidTr="00EB7FD2">
        <w:tc>
          <w:tcPr>
            <w:tcW w:w="10485" w:type="dxa"/>
            <w:gridSpan w:val="2"/>
          </w:tcPr>
          <w:p w14:paraId="1DC18E2D" w14:textId="77777777" w:rsidR="00F215FC" w:rsidRDefault="00F215FC" w:rsidP="00F215FC">
            <w:pPr>
              <w:jc w:val="both"/>
              <w:rPr>
                <w:rFonts w:ascii="Arial" w:eastAsia="Times New Roman" w:hAnsi="Arial" w:cs="Arial"/>
                <w:b/>
                <w:snapToGrid w:val="0"/>
                <w:color w:val="000000"/>
                <w:sz w:val="22"/>
                <w:szCs w:val="22"/>
                <w:lang w:val="en-US" w:eastAsia="en-GB"/>
              </w:rPr>
            </w:pPr>
          </w:p>
          <w:p w14:paraId="257815B0"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DISCLOSURE OF CRIMINAL RECORD</w:t>
            </w:r>
            <w:r>
              <w:rPr>
                <w:rFonts w:ascii="Arial" w:eastAsia="Times New Roman" w:hAnsi="Arial" w:cs="Arial"/>
                <w:b/>
                <w:snapToGrid w:val="0"/>
                <w:color w:val="000000"/>
                <w:sz w:val="22"/>
                <w:szCs w:val="22"/>
                <w:lang w:val="en-US" w:eastAsia="en-GB"/>
              </w:rPr>
              <w:t xml:space="preserve"> </w:t>
            </w:r>
          </w:p>
          <w:p w14:paraId="0AE4C367"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Pr>
                <w:rFonts w:ascii="Arial" w:eastAsia="Times New Roman" w:hAnsi="Arial" w:cs="Arial"/>
                <w:snapToGrid w:val="0"/>
                <w:color w:val="000000"/>
                <w:sz w:val="22"/>
                <w:szCs w:val="22"/>
                <w:lang w:val="en-US" w:eastAsia="en-GB"/>
              </w:rPr>
              <w:t>d</w:t>
            </w:r>
            <w:r w:rsidRPr="00636E00">
              <w:rPr>
                <w:rFonts w:ascii="Arial" w:eastAsia="Times New Roman" w:hAnsi="Arial" w:cs="Arial"/>
                <w:snapToGrid w:val="0"/>
                <w:color w:val="000000"/>
                <w:sz w:val="22"/>
                <w:szCs w:val="22"/>
                <w:lang w:val="en-US"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13E5329E" w14:textId="77777777" w:rsidTr="00EB7FD2">
        <w:tc>
          <w:tcPr>
            <w:tcW w:w="10485" w:type="dxa"/>
            <w:gridSpan w:val="2"/>
          </w:tcPr>
          <w:p w14:paraId="78943A38" w14:textId="77777777" w:rsidR="00F215FC"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EB7FD2">
        <w:tc>
          <w:tcPr>
            <w:tcW w:w="10485"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76697" w14:textId="77777777" w:rsidR="00202F00" w:rsidRDefault="00202F00" w:rsidP="0052057F">
      <w:r>
        <w:separator/>
      </w:r>
    </w:p>
  </w:endnote>
  <w:endnote w:type="continuationSeparator" w:id="0">
    <w:p w14:paraId="29B11532" w14:textId="77777777" w:rsidR="00202F00" w:rsidRDefault="00202F00"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7B10" w14:textId="77777777" w:rsidR="00202F00" w:rsidRDefault="00202F00" w:rsidP="0052057F">
      <w:r>
        <w:separator/>
      </w:r>
    </w:p>
  </w:footnote>
  <w:footnote w:type="continuationSeparator" w:id="0">
    <w:p w14:paraId="3C314822" w14:textId="77777777" w:rsidR="00202F00" w:rsidRDefault="00202F00"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012D7"/>
    <w:multiLevelType w:val="hybridMultilevel"/>
    <w:tmpl w:val="CC02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3"/>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5"/>
  </w:num>
  <w:num w:numId="8" w16cid:durableId="1958674808">
    <w:abstractNumId w:val="4"/>
  </w:num>
  <w:num w:numId="9" w16cid:durableId="1650792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10256D"/>
    <w:rsid w:val="00202F00"/>
    <w:rsid w:val="00294400"/>
    <w:rsid w:val="002B0922"/>
    <w:rsid w:val="002D310B"/>
    <w:rsid w:val="00324ED9"/>
    <w:rsid w:val="004B7AC9"/>
    <w:rsid w:val="004D5A0C"/>
    <w:rsid w:val="0052057F"/>
    <w:rsid w:val="00587A79"/>
    <w:rsid w:val="005F2849"/>
    <w:rsid w:val="0062570B"/>
    <w:rsid w:val="00636E00"/>
    <w:rsid w:val="00694A48"/>
    <w:rsid w:val="00741E61"/>
    <w:rsid w:val="00772D7F"/>
    <w:rsid w:val="007C5707"/>
    <w:rsid w:val="007F4F09"/>
    <w:rsid w:val="0096226F"/>
    <w:rsid w:val="00965CA2"/>
    <w:rsid w:val="00A07478"/>
    <w:rsid w:val="00A242C6"/>
    <w:rsid w:val="00A456AE"/>
    <w:rsid w:val="00A7287B"/>
    <w:rsid w:val="00B22BEE"/>
    <w:rsid w:val="00BA5745"/>
    <w:rsid w:val="00BC7618"/>
    <w:rsid w:val="00C74BA5"/>
    <w:rsid w:val="00CD5B2C"/>
    <w:rsid w:val="00D55763"/>
    <w:rsid w:val="00D60F2B"/>
    <w:rsid w:val="00DC1B70"/>
    <w:rsid w:val="00E6573E"/>
    <w:rsid w:val="00E73E44"/>
    <w:rsid w:val="00EB7FD2"/>
    <w:rsid w:val="00EE54E6"/>
    <w:rsid w:val="00EF75C6"/>
    <w:rsid w:val="00F215FC"/>
    <w:rsid w:val="00F461C9"/>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broxstore1\r_drive\msoffice\templates\Personnel\A4%20Values%20Generic%20Template%20-%20coloured%20b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Values Generic Template - coloured bar</Template>
  <TotalTime>1</TotalTime>
  <Pages>2</Pages>
  <Words>731</Words>
  <Characters>4171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Charles</dc:creator>
  <cp:lastModifiedBy>Clare Moss</cp:lastModifiedBy>
  <cp:revision>2</cp:revision>
  <cp:lastPrinted>2018-12-10T11:35:00Z</cp:lastPrinted>
  <dcterms:created xsi:type="dcterms:W3CDTF">2024-05-20T14:26:00Z</dcterms:created>
  <dcterms:modified xsi:type="dcterms:W3CDTF">2024-05-20T14:26:00Z</dcterms:modified>
</cp:coreProperties>
</file>