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64D8018" w:rsidR="00801949" w:rsidRPr="003B058B" w:rsidRDefault="00645AC9" w:rsidP="05E66D72">
            <w:pPr>
              <w:rPr>
                <w:rFonts w:ascii="Arial" w:eastAsia="Arial" w:hAnsi="Arial" w:cs="Arial"/>
                <w:lang w:val="en-US"/>
              </w:rPr>
            </w:pPr>
            <w:r>
              <w:rPr>
                <w:rFonts w:ascii="Arial" w:eastAsia="Arial" w:hAnsi="Arial" w:cs="Arial"/>
                <w:lang w:val="en-US"/>
              </w:rPr>
              <w:t>Tenancy Relations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04F4134" w:rsidR="00801949" w:rsidRPr="003B058B" w:rsidRDefault="00645AC9" w:rsidP="05E66D72">
            <w:pPr>
              <w:rPr>
                <w:rFonts w:ascii="Arial" w:eastAsia="Arial" w:hAnsi="Arial" w:cs="Arial"/>
                <w:lang w:val="en-US"/>
              </w:rPr>
            </w:pPr>
            <w:r>
              <w:rPr>
                <w:rFonts w:ascii="Arial" w:eastAsia="Arial" w:hAnsi="Arial" w:cs="Arial"/>
                <w:lang w:val="en-US"/>
              </w:rPr>
              <w:t>Band H</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4772A0FA" w:rsidR="007102FC" w:rsidRPr="003B058B" w:rsidRDefault="00645AC9" w:rsidP="00001C6C">
            <w:pPr>
              <w:rPr>
                <w:rFonts w:ascii="Arial" w:eastAsia="Arial" w:hAnsi="Arial" w:cs="Arial"/>
                <w:lang w:val="en-US"/>
              </w:rPr>
            </w:pPr>
            <w:r>
              <w:rPr>
                <w:rFonts w:ascii="Arial" w:eastAsia="Arial" w:hAnsi="Arial" w:cs="Arial"/>
                <w:lang w:val="en-US"/>
              </w:rPr>
              <w:t>Housing Standards Project Officer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2718D90B" w:rsidR="005D45B8" w:rsidRPr="003B058B" w:rsidRDefault="00645AC9"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REG0091G</w:t>
            </w:r>
          </w:p>
        </w:tc>
      </w:tr>
    </w:tbl>
    <w:p w14:paraId="6F798499" w14:textId="7094BAF3"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2CB44AC6" w14:textId="27FE2264" w:rsidR="003F3578" w:rsidRPr="003F3578" w:rsidRDefault="003F3578" w:rsidP="003F3578">
      <w:pPr>
        <w:jc w:val="both"/>
        <w:rPr>
          <w:rFonts w:ascii="Arial" w:eastAsia="Arial" w:hAnsi="Arial" w:cs="Arial"/>
          <w:color w:val="333333"/>
        </w:rPr>
      </w:pPr>
      <w:r w:rsidRPr="003F3578">
        <w:rPr>
          <w:rFonts w:ascii="Arial" w:eastAsia="Arial" w:hAnsi="Arial" w:cs="Arial"/>
          <w:color w:val="333333"/>
        </w:rPr>
        <w:t>The Tenancy Relations Officer is responsible for acting as the first point of contact for residents, tenants, landlords and partner agencies in relation to a wide range of housing complaints and breaches of the Renters’ Rights Act and landlord and tenant legislation.</w:t>
      </w:r>
    </w:p>
    <w:p w14:paraId="31CA566A" w14:textId="5B7A1B8F" w:rsidR="003F3578" w:rsidRPr="003F3578" w:rsidRDefault="003F3578" w:rsidP="003F3578">
      <w:pPr>
        <w:jc w:val="both"/>
        <w:rPr>
          <w:rFonts w:ascii="Arial" w:eastAsia="Arial" w:hAnsi="Arial" w:cs="Arial"/>
          <w:color w:val="333333"/>
        </w:rPr>
      </w:pPr>
      <w:r w:rsidRPr="003F3578">
        <w:rPr>
          <w:rFonts w:ascii="Arial" w:eastAsia="Arial" w:hAnsi="Arial" w:cs="Arial"/>
          <w:color w:val="333333"/>
        </w:rPr>
        <w:t>The postholder will receive, assess, advise and assist, monitor and track referrals relating to private rented sector issues, ensuring cases are correctly triaged and where they cannot be resolved, refer to the appropriate service area such as Healthy Homes, Housing Standards, Housing Options, Environmental Health or Trading Standards.</w:t>
      </w:r>
    </w:p>
    <w:p w14:paraId="06CD8292" w14:textId="3A61F09B" w:rsidR="000B5E57" w:rsidRDefault="003F3578" w:rsidP="003F3578">
      <w:pPr>
        <w:jc w:val="both"/>
        <w:rPr>
          <w:rFonts w:ascii="Lato" w:eastAsia="Arial" w:hAnsi="Lato" w:cs="Arial"/>
          <w:caps/>
          <w:color w:val="296EB6"/>
          <w:spacing w:val="30"/>
        </w:rPr>
      </w:pPr>
      <w:r w:rsidRPr="003F3578">
        <w:rPr>
          <w:rFonts w:ascii="Arial" w:eastAsia="Arial" w:hAnsi="Arial" w:cs="Arial"/>
          <w:color w:val="333333"/>
        </w:rPr>
        <w:t>The role focuses on protecting renters’ rights, preventing unlawful practices, and ensuring timely, coordinated responses to issues including discrimination, unlawful eviction, harassment, poor property conditions and housing standards failures.</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340D11AB" w14:textId="1BBDB46A" w:rsidR="00A6208B" w:rsidRPr="003F3578"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1EE410C6" w14:textId="1D9F18DB" w:rsidR="007D62C1" w:rsidRPr="003B058B" w:rsidRDefault="007D62C1" w:rsidP="003F3578">
      <w:pPr>
        <w:rPr>
          <w:rFonts w:ascii="Arial" w:eastAsia="Arial" w:hAnsi="Arial" w:cs="Arial"/>
          <w:color w:val="333333"/>
        </w:rPr>
      </w:pPr>
    </w:p>
    <w:p w14:paraId="53DB0BC4" w14:textId="77777777" w:rsidR="003F3578" w:rsidRPr="003F3578" w:rsidRDefault="003F3578" w:rsidP="003F3578">
      <w:pPr>
        <w:spacing w:line="278" w:lineRule="auto"/>
        <w:contextualSpacing/>
        <w:rPr>
          <w:rFonts w:ascii="Arial" w:eastAsia="Aptos" w:hAnsi="Arial" w:cs="Arial"/>
          <w:kern w:val="2"/>
          <w14:ligatures w14:val="standardContextual"/>
        </w:rPr>
      </w:pPr>
      <w:r w:rsidRPr="003F3578">
        <w:rPr>
          <w:rFonts w:ascii="Arial" w:eastAsia="Aptos" w:hAnsi="Arial" w:cs="Arial"/>
          <w:b/>
          <w:bCs/>
          <w:kern w:val="2"/>
          <w14:ligatures w14:val="standardContextual"/>
        </w:rPr>
        <w:t>Case Intake and Triage</w:t>
      </w:r>
    </w:p>
    <w:p w14:paraId="155F3EF0" w14:textId="77777777" w:rsidR="003F3578" w:rsidRPr="003F3578" w:rsidRDefault="003F3578" w:rsidP="003F3578">
      <w:pPr>
        <w:spacing w:after="0" w:line="268" w:lineRule="auto"/>
        <w:ind w:left="-5" w:hanging="10"/>
        <w:jc w:val="both"/>
        <w:rPr>
          <w:rFonts w:ascii="Arial" w:eastAsia="Arial" w:hAnsi="Arial" w:cs="Arial"/>
          <w:b/>
          <w:kern w:val="2"/>
          <w:lang w:eastAsia="en-GB"/>
          <w14:ligatures w14:val="standardContextual"/>
        </w:rPr>
      </w:pPr>
    </w:p>
    <w:p w14:paraId="01FE43C6" w14:textId="77777777" w:rsidR="003F3578" w:rsidRPr="003F3578" w:rsidRDefault="003F3578" w:rsidP="003F3578">
      <w:pPr>
        <w:numPr>
          <w:ilvl w:val="0"/>
          <w:numId w:val="14"/>
        </w:numPr>
        <w:spacing w:after="5" w:line="250" w:lineRule="auto"/>
        <w:ind w:left="360"/>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Act as the first point of contact for all tenancy relations and renters’ rights enquiries into the Council. Assess complaints in line with the Renters’ Rights Act and relevant housing legislation and determine the appropriate pathway to resolve the enquiry. Where enquiries cannot be resolved or a legislative breach is likely, refer cases to the relevant service area for enforcement action or specialist assistance.</w:t>
      </w:r>
    </w:p>
    <w:p w14:paraId="127ABA74" w14:textId="77777777" w:rsidR="003F3578" w:rsidRPr="003F3578" w:rsidRDefault="003F3578" w:rsidP="003F3578">
      <w:pPr>
        <w:spacing w:after="5" w:line="250" w:lineRule="auto"/>
        <w:ind w:left="360"/>
        <w:jc w:val="both"/>
        <w:rPr>
          <w:rFonts w:ascii="Arial" w:eastAsia="Arial" w:hAnsi="Arial" w:cs="Arial"/>
          <w:kern w:val="2"/>
          <w:lang w:eastAsia="en-GB"/>
          <w14:ligatures w14:val="standardContextual"/>
        </w:rPr>
      </w:pPr>
    </w:p>
    <w:p w14:paraId="094FBE7A" w14:textId="77777777" w:rsidR="003F3578" w:rsidRPr="003F3578" w:rsidRDefault="003F3578" w:rsidP="003F3578">
      <w:pPr>
        <w:numPr>
          <w:ilvl w:val="0"/>
          <w:numId w:val="14"/>
        </w:numPr>
        <w:spacing w:after="5" w:line="250" w:lineRule="auto"/>
        <w:ind w:left="360"/>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Where necessary conduct a home visit to more fully assess the enquiry, collect evidence and provide guidance and or mediation where there are disputes between landlords and tenants.</w:t>
      </w:r>
    </w:p>
    <w:p w14:paraId="534AF9A1" w14:textId="77777777" w:rsidR="003F3578" w:rsidRPr="003F3578" w:rsidRDefault="003F3578" w:rsidP="003F3578">
      <w:pPr>
        <w:ind w:left="720"/>
        <w:contextualSpacing/>
        <w:rPr>
          <w:rFonts w:ascii="Arial" w:eastAsia="Aptos" w:hAnsi="Arial" w:cs="Arial"/>
          <w:kern w:val="2"/>
          <w14:ligatures w14:val="standardContextual"/>
        </w:rPr>
      </w:pPr>
    </w:p>
    <w:p w14:paraId="7E576EE0" w14:textId="77777777" w:rsidR="003F3578" w:rsidRPr="003F3578" w:rsidRDefault="003F3578" w:rsidP="003F3578">
      <w:pPr>
        <w:numPr>
          <w:ilvl w:val="0"/>
          <w:numId w:val="14"/>
        </w:numPr>
        <w:spacing w:after="5" w:line="250" w:lineRule="auto"/>
        <w:ind w:left="360"/>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Identify safeguarding, vulnerability or urgent risk issues and escalate appropriately.</w:t>
      </w:r>
    </w:p>
    <w:p w14:paraId="7B457BF6" w14:textId="77777777" w:rsidR="003F3578" w:rsidRPr="003F3578" w:rsidRDefault="003F3578" w:rsidP="003F3578">
      <w:pPr>
        <w:spacing w:line="278" w:lineRule="auto"/>
        <w:ind w:left="360"/>
        <w:contextualSpacing/>
        <w:rPr>
          <w:rFonts w:ascii="Arial" w:eastAsia="Aptos" w:hAnsi="Arial" w:cs="Arial"/>
          <w:kern w:val="2"/>
          <w14:ligatures w14:val="standardContextual"/>
        </w:rPr>
      </w:pPr>
    </w:p>
    <w:p w14:paraId="33B17E7C" w14:textId="77777777" w:rsidR="003F3578" w:rsidRPr="003F3578" w:rsidRDefault="003F3578" w:rsidP="003F3578">
      <w:pPr>
        <w:spacing w:line="278" w:lineRule="auto"/>
        <w:contextualSpacing/>
        <w:rPr>
          <w:rFonts w:ascii="Arial" w:eastAsia="Aptos" w:hAnsi="Arial" w:cs="Arial"/>
          <w:kern w:val="2"/>
          <w14:ligatures w14:val="standardContextual"/>
        </w:rPr>
      </w:pPr>
      <w:r w:rsidRPr="003F3578">
        <w:rPr>
          <w:rFonts w:ascii="Arial" w:eastAsia="Aptos" w:hAnsi="Arial" w:cs="Arial"/>
          <w:b/>
          <w:bCs/>
          <w:kern w:val="2"/>
          <w14:ligatures w14:val="standardContextual"/>
        </w:rPr>
        <w:t>Case Management and Monitoring</w:t>
      </w:r>
    </w:p>
    <w:p w14:paraId="3B4E271A" w14:textId="77777777" w:rsidR="003F3578" w:rsidRPr="003F3578" w:rsidRDefault="003F3578" w:rsidP="003F3578">
      <w:pPr>
        <w:spacing w:after="5" w:line="250" w:lineRule="auto"/>
        <w:jc w:val="both"/>
        <w:rPr>
          <w:rFonts w:ascii="Arial" w:eastAsia="Arial" w:hAnsi="Arial" w:cs="Arial"/>
          <w:kern w:val="2"/>
          <w:lang w:eastAsia="en-GB"/>
          <w14:ligatures w14:val="standardContextual"/>
        </w:rPr>
      </w:pPr>
    </w:p>
    <w:p w14:paraId="403ED1EF" w14:textId="77777777" w:rsidR="003F3578" w:rsidRPr="003F3578" w:rsidRDefault="003F3578" w:rsidP="003F3578">
      <w:pPr>
        <w:numPr>
          <w:ilvl w:val="0"/>
          <w:numId w:val="14"/>
        </w:numPr>
        <w:spacing w:after="5" w:line="250" w:lineRule="auto"/>
        <w:ind w:left="360"/>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 xml:space="preserve">Log, track and monitor complaints and maintain accurate case records, evidence, correspondence and decisions using the appropriate database and reporting tools to ensure timely action and outcomes, </w:t>
      </w:r>
      <w:r w:rsidRPr="003F3578">
        <w:rPr>
          <w:rFonts w:ascii="Arial" w:eastAsia="Arial" w:hAnsi="Arial" w:cs="Arial"/>
          <w:kern w:val="2"/>
          <w:lang w:eastAsia="en-GB"/>
          <w14:ligatures w14:val="standardContextual"/>
        </w:rPr>
        <w:t>provide an audit trail and enable reporting on key information.</w:t>
      </w:r>
    </w:p>
    <w:p w14:paraId="45088E39" w14:textId="77777777" w:rsidR="003F3578" w:rsidRPr="003F3578" w:rsidRDefault="003F3578" w:rsidP="003F3578">
      <w:pPr>
        <w:spacing w:after="5" w:line="250" w:lineRule="auto"/>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w:t>
      </w:r>
    </w:p>
    <w:p w14:paraId="7444F6B9" w14:textId="77777777" w:rsidR="003F3578" w:rsidRPr="003F3578" w:rsidRDefault="003F3578" w:rsidP="003F3578">
      <w:pPr>
        <w:numPr>
          <w:ilvl w:val="0"/>
          <w:numId w:val="14"/>
        </w:numPr>
        <w:spacing w:after="5" w:line="250" w:lineRule="auto"/>
        <w:ind w:left="360"/>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Monitor progress across services and follow up to ensure actions are taken and provide feedback to clients and stakeholders on case status and next steps.</w:t>
      </w:r>
    </w:p>
    <w:p w14:paraId="14BA0521" w14:textId="77777777" w:rsidR="003F3578" w:rsidRPr="003F3578" w:rsidRDefault="003F3578" w:rsidP="003F3578">
      <w:pPr>
        <w:spacing w:after="5" w:line="250" w:lineRule="auto"/>
        <w:ind w:left="360"/>
        <w:jc w:val="both"/>
        <w:rPr>
          <w:rFonts w:ascii="Arial" w:eastAsia="Arial" w:hAnsi="Arial" w:cs="Arial"/>
          <w:kern w:val="2"/>
          <w:lang w:eastAsia="en-GB"/>
          <w14:ligatures w14:val="standardContextual"/>
        </w:rPr>
      </w:pPr>
    </w:p>
    <w:p w14:paraId="3F638872" w14:textId="77777777" w:rsidR="003F3578" w:rsidRPr="003F3578" w:rsidRDefault="003F3578" w:rsidP="003F3578">
      <w:pPr>
        <w:numPr>
          <w:ilvl w:val="0"/>
          <w:numId w:val="14"/>
        </w:numPr>
        <w:spacing w:after="5" w:line="250" w:lineRule="auto"/>
        <w:ind w:left="360"/>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Support performance reporting on complaints, trends and compliance activity.</w:t>
      </w:r>
    </w:p>
    <w:p w14:paraId="687665DD" w14:textId="77777777" w:rsidR="003F3578" w:rsidRPr="003F3578" w:rsidRDefault="003F3578" w:rsidP="003F3578">
      <w:pPr>
        <w:ind w:left="720"/>
        <w:contextualSpacing/>
        <w:rPr>
          <w:rFonts w:ascii="Arial" w:eastAsia="Aptos" w:hAnsi="Arial" w:cs="Arial"/>
          <w:b/>
          <w:bCs/>
          <w:kern w:val="2"/>
          <w14:ligatures w14:val="standardContextual"/>
        </w:rPr>
      </w:pPr>
    </w:p>
    <w:p w14:paraId="212EB112" w14:textId="77777777" w:rsidR="003F3578" w:rsidRPr="003F3578" w:rsidRDefault="003F3578" w:rsidP="003F3578">
      <w:pPr>
        <w:spacing w:line="278" w:lineRule="auto"/>
        <w:contextualSpacing/>
        <w:rPr>
          <w:rFonts w:ascii="Arial" w:eastAsia="Aptos" w:hAnsi="Arial" w:cs="Arial"/>
          <w:kern w:val="2"/>
          <w14:ligatures w14:val="standardContextual"/>
        </w:rPr>
      </w:pPr>
      <w:r w:rsidRPr="003F3578">
        <w:rPr>
          <w:rFonts w:ascii="Arial" w:eastAsia="Aptos" w:hAnsi="Arial" w:cs="Arial"/>
          <w:b/>
          <w:bCs/>
          <w:kern w:val="2"/>
          <w14:ligatures w14:val="standardContextual"/>
        </w:rPr>
        <w:t>Advice, Guidance and Support</w:t>
      </w:r>
    </w:p>
    <w:p w14:paraId="174BB497" w14:textId="77777777" w:rsidR="003F3578" w:rsidRPr="003F3578" w:rsidRDefault="003F3578" w:rsidP="003F3578">
      <w:pPr>
        <w:spacing w:after="5" w:line="250" w:lineRule="auto"/>
        <w:jc w:val="both"/>
        <w:rPr>
          <w:rFonts w:ascii="Arial" w:eastAsia="Arial" w:hAnsi="Arial" w:cs="Arial"/>
          <w:kern w:val="2"/>
          <w:lang w:eastAsia="en-GB"/>
          <w14:ligatures w14:val="standardContextual"/>
        </w:rPr>
      </w:pPr>
    </w:p>
    <w:p w14:paraId="4E5BCF69" w14:textId="77777777" w:rsidR="003F3578" w:rsidRPr="003F3578" w:rsidRDefault="003F3578" w:rsidP="003F3578">
      <w:pPr>
        <w:numPr>
          <w:ilvl w:val="0"/>
          <w:numId w:val="16"/>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Provide clear advice to tenants and landlords on rights and responsibilities under the Renters’ Rights Act, Housing Acts, and Landlord &amp; Tenant related legislation.</w:t>
      </w:r>
    </w:p>
    <w:p w14:paraId="3330BEB8" w14:textId="77777777" w:rsidR="003F3578" w:rsidRPr="003F3578" w:rsidRDefault="003F3578" w:rsidP="003F3578">
      <w:pPr>
        <w:numPr>
          <w:ilvl w:val="0"/>
          <w:numId w:val="16"/>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Explain processes, enforcement options and service pathways in a customer-focused way.</w:t>
      </w:r>
    </w:p>
    <w:p w14:paraId="70116EEF" w14:textId="77777777" w:rsidR="003F3578" w:rsidRPr="003F3578" w:rsidRDefault="003F3578" w:rsidP="003F3578">
      <w:pPr>
        <w:numPr>
          <w:ilvl w:val="0"/>
          <w:numId w:val="16"/>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Signpost customers to appropriate support services, advocacy and legal advice where needed.</w:t>
      </w:r>
    </w:p>
    <w:p w14:paraId="67D9BBB6" w14:textId="77777777" w:rsidR="003F3578" w:rsidRPr="003F3578" w:rsidRDefault="003F3578" w:rsidP="003F3578">
      <w:pPr>
        <w:numPr>
          <w:ilvl w:val="0"/>
          <w:numId w:val="16"/>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Promote early intervention and resolution where appropriate.</w:t>
      </w:r>
    </w:p>
    <w:p w14:paraId="27031CBF" w14:textId="77777777" w:rsidR="003F3578" w:rsidRPr="003F3578" w:rsidRDefault="003F3578" w:rsidP="003F3578">
      <w:pPr>
        <w:ind w:left="720"/>
        <w:contextualSpacing/>
        <w:rPr>
          <w:rFonts w:ascii="Arial" w:eastAsia="Aptos" w:hAnsi="Arial" w:cs="Arial"/>
          <w:b/>
          <w:bCs/>
          <w:kern w:val="2"/>
          <w14:ligatures w14:val="standardContextual"/>
        </w:rPr>
      </w:pPr>
    </w:p>
    <w:p w14:paraId="3D7286E1" w14:textId="77777777" w:rsidR="003F3578" w:rsidRPr="003F3578" w:rsidRDefault="003F3578" w:rsidP="003F3578">
      <w:pPr>
        <w:spacing w:line="278" w:lineRule="auto"/>
        <w:contextualSpacing/>
        <w:rPr>
          <w:rFonts w:ascii="Arial" w:eastAsia="Aptos" w:hAnsi="Arial" w:cs="Arial"/>
          <w:kern w:val="2"/>
          <w14:ligatures w14:val="standardContextual"/>
        </w:rPr>
      </w:pPr>
      <w:r w:rsidRPr="003F3578">
        <w:rPr>
          <w:rFonts w:ascii="Arial" w:eastAsia="Aptos" w:hAnsi="Arial" w:cs="Arial"/>
          <w:b/>
          <w:bCs/>
          <w:kern w:val="2"/>
          <w14:ligatures w14:val="standardContextual"/>
        </w:rPr>
        <w:t>Partnership and Multi-Agency Working</w:t>
      </w:r>
    </w:p>
    <w:p w14:paraId="6DAD481E" w14:textId="77777777" w:rsidR="003F3578" w:rsidRPr="003F3578" w:rsidRDefault="003F3578" w:rsidP="003F3578">
      <w:pPr>
        <w:spacing w:line="278" w:lineRule="auto"/>
        <w:contextualSpacing/>
        <w:rPr>
          <w:rFonts w:ascii="Arial" w:eastAsia="Aptos" w:hAnsi="Arial" w:cs="Arial"/>
          <w:kern w:val="2"/>
          <w14:ligatures w14:val="standardContextual"/>
        </w:rPr>
      </w:pPr>
    </w:p>
    <w:p w14:paraId="2BB493B2" w14:textId="77777777" w:rsidR="003F3578" w:rsidRPr="003F3578" w:rsidRDefault="003F3578" w:rsidP="003F3578">
      <w:pPr>
        <w:numPr>
          <w:ilvl w:val="0"/>
          <w:numId w:val="17"/>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Work closely with internal teams including Housing Options, Environmental Health, Trading Standards, Healthy Homes and Legal Services to promote positive outcomes for tenants and make recommendations to how pathways into services can be improved.</w:t>
      </w:r>
    </w:p>
    <w:p w14:paraId="4992E39D" w14:textId="77777777" w:rsidR="003F3578" w:rsidRPr="003F3578" w:rsidRDefault="003F3578" w:rsidP="003F3578">
      <w:pPr>
        <w:numPr>
          <w:ilvl w:val="0"/>
          <w:numId w:val="17"/>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Liaise with external partners such as advice agencies, charities, police and support organisations.</w:t>
      </w:r>
    </w:p>
    <w:p w14:paraId="2332D09C" w14:textId="77777777" w:rsidR="003F3578" w:rsidRPr="003F3578" w:rsidRDefault="003F3578" w:rsidP="003F3578">
      <w:pPr>
        <w:numPr>
          <w:ilvl w:val="0"/>
          <w:numId w:val="17"/>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 xml:space="preserve">Be solutions focused and negotiate with landlords on behalf of the tenant to advocate for their </w:t>
      </w:r>
      <w:proofErr w:type="gramStart"/>
      <w:r w:rsidRPr="003F3578">
        <w:rPr>
          <w:rFonts w:ascii="Arial" w:eastAsia="Aptos" w:hAnsi="Arial" w:cs="Arial"/>
          <w:kern w:val="2"/>
          <w14:ligatures w14:val="standardContextual"/>
        </w:rPr>
        <w:t>rights, and</w:t>
      </w:r>
      <w:proofErr w:type="gramEnd"/>
      <w:r w:rsidRPr="003F3578">
        <w:rPr>
          <w:rFonts w:ascii="Arial" w:eastAsia="Aptos" w:hAnsi="Arial" w:cs="Arial"/>
          <w:kern w:val="2"/>
          <w14:ligatures w14:val="standardContextual"/>
        </w:rPr>
        <w:t xml:space="preserve"> provide mediation where required. </w:t>
      </w:r>
    </w:p>
    <w:p w14:paraId="6F79AA97" w14:textId="77777777" w:rsidR="003F3578" w:rsidRPr="003F3578" w:rsidRDefault="003F3578" w:rsidP="003F3578">
      <w:pPr>
        <w:numPr>
          <w:ilvl w:val="0"/>
          <w:numId w:val="17"/>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Support coordinated responses to complex or high-risk tenancy cases.</w:t>
      </w:r>
    </w:p>
    <w:p w14:paraId="29924C5B" w14:textId="77777777" w:rsidR="003F3578" w:rsidRPr="003F3578" w:rsidRDefault="003F3578" w:rsidP="003F3578">
      <w:pPr>
        <w:ind w:left="720"/>
        <w:contextualSpacing/>
        <w:rPr>
          <w:rFonts w:ascii="Arial" w:eastAsia="Aptos" w:hAnsi="Arial" w:cs="Arial"/>
          <w:b/>
          <w:bCs/>
          <w:kern w:val="2"/>
          <w14:ligatures w14:val="standardContextual"/>
        </w:rPr>
      </w:pPr>
    </w:p>
    <w:p w14:paraId="6C880F4E" w14:textId="77777777" w:rsidR="003F3578" w:rsidRPr="003F3578" w:rsidRDefault="003F3578" w:rsidP="003F3578">
      <w:pPr>
        <w:spacing w:line="278" w:lineRule="auto"/>
        <w:contextualSpacing/>
        <w:rPr>
          <w:rFonts w:ascii="Arial" w:eastAsia="Aptos" w:hAnsi="Arial" w:cs="Arial"/>
          <w:kern w:val="2"/>
          <w14:ligatures w14:val="standardContextual"/>
        </w:rPr>
      </w:pPr>
      <w:r w:rsidRPr="003F3578">
        <w:rPr>
          <w:rFonts w:ascii="Arial" w:eastAsia="Aptos" w:hAnsi="Arial" w:cs="Arial"/>
          <w:b/>
          <w:bCs/>
          <w:kern w:val="2"/>
          <w14:ligatures w14:val="standardContextual"/>
        </w:rPr>
        <w:t>Compliance, Standards and Professional Development</w:t>
      </w:r>
    </w:p>
    <w:p w14:paraId="3AC011C8" w14:textId="77777777" w:rsidR="003F3578" w:rsidRPr="003F3578" w:rsidRDefault="003F3578" w:rsidP="003F3578">
      <w:pPr>
        <w:spacing w:line="278" w:lineRule="auto"/>
        <w:contextualSpacing/>
        <w:rPr>
          <w:rFonts w:ascii="Arial" w:eastAsia="Aptos" w:hAnsi="Arial" w:cs="Arial"/>
          <w:b/>
          <w:bCs/>
          <w:kern w:val="2"/>
          <w14:ligatures w14:val="standardContextual"/>
        </w:rPr>
      </w:pPr>
    </w:p>
    <w:p w14:paraId="7576F59A" w14:textId="77777777" w:rsidR="003F3578" w:rsidRPr="003F3578" w:rsidRDefault="003F3578" w:rsidP="003F3578">
      <w:pPr>
        <w:numPr>
          <w:ilvl w:val="0"/>
          <w:numId w:val="18"/>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Ensure all actions comply with council policies, statutory duties and data protection requirements.</w:t>
      </w:r>
    </w:p>
    <w:p w14:paraId="6FB90DE1" w14:textId="77777777" w:rsidR="003F3578" w:rsidRPr="003F3578" w:rsidRDefault="003F3578" w:rsidP="003F3578">
      <w:pPr>
        <w:numPr>
          <w:ilvl w:val="0"/>
          <w:numId w:val="18"/>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Contribute to service improvements by identifying trends, risks and learning from complaints.</w:t>
      </w:r>
    </w:p>
    <w:p w14:paraId="2956512C" w14:textId="77777777" w:rsidR="003F3578" w:rsidRPr="003F3578" w:rsidRDefault="003F3578" w:rsidP="003F3578">
      <w:pPr>
        <w:numPr>
          <w:ilvl w:val="0"/>
          <w:numId w:val="18"/>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Support audits, performance monitoring and service development relating to renters’ rights.</w:t>
      </w:r>
    </w:p>
    <w:p w14:paraId="6F74D621" w14:textId="77777777" w:rsidR="003F3578" w:rsidRPr="003F3578" w:rsidRDefault="003F3578" w:rsidP="003F3578">
      <w:pPr>
        <w:numPr>
          <w:ilvl w:val="0"/>
          <w:numId w:val="18"/>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 xml:space="preserve">Undertake and maintain Housing Health and Safety Rating System (HHSRS) training, Decent Homes Standards, MEES, </w:t>
      </w:r>
      <w:proofErr w:type="spellStart"/>
      <w:r w:rsidRPr="003F3578">
        <w:rPr>
          <w:rFonts w:ascii="Arial" w:eastAsia="Aptos" w:hAnsi="Arial" w:cs="Arial"/>
          <w:kern w:val="2"/>
          <w14:ligatures w14:val="standardContextual"/>
        </w:rPr>
        <w:t>Awaabs</w:t>
      </w:r>
      <w:proofErr w:type="spellEnd"/>
      <w:r w:rsidRPr="003F3578">
        <w:rPr>
          <w:rFonts w:ascii="Arial" w:eastAsia="Aptos" w:hAnsi="Arial" w:cs="Arial"/>
          <w:kern w:val="2"/>
          <w14:ligatures w14:val="standardContextual"/>
        </w:rPr>
        <w:t xml:space="preserve"> Law, Illegal eviction and other training as new Renters Right Act legislation comes into force. Apply this knowledge when assessing housing condition issues through home visits and referring cases appropriately.</w:t>
      </w:r>
    </w:p>
    <w:p w14:paraId="7047A553" w14:textId="77777777" w:rsidR="003F3578" w:rsidRPr="003F3578" w:rsidRDefault="003F3578" w:rsidP="003F3578">
      <w:pPr>
        <w:numPr>
          <w:ilvl w:val="0"/>
          <w:numId w:val="18"/>
        </w:numPr>
        <w:spacing w:after="5" w:line="250" w:lineRule="auto"/>
        <w:contextualSpacing/>
        <w:jc w:val="both"/>
        <w:rPr>
          <w:rFonts w:ascii="Arial" w:eastAsia="Arial" w:hAnsi="Arial" w:cs="Arial"/>
          <w:kern w:val="2"/>
          <w:lang w:eastAsia="en-GB"/>
          <w14:ligatures w14:val="standardContextual"/>
        </w:rPr>
      </w:pPr>
      <w:r w:rsidRPr="003F3578">
        <w:rPr>
          <w:rFonts w:ascii="Arial" w:eastAsia="Aptos" w:hAnsi="Arial" w:cs="Arial"/>
          <w:kern w:val="2"/>
          <w14:ligatures w14:val="standardContextual"/>
        </w:rPr>
        <w:t>Keep up to date with changes in housing legislation, guidance and best practice.</w:t>
      </w:r>
      <w:r w:rsidRPr="003F3578">
        <w:rPr>
          <w:rFonts w:ascii="Arial" w:eastAsia="Aptos" w:hAnsi="Arial" w:cs="Arial"/>
          <w:kern w:val="2"/>
          <w14:ligatures w14:val="standardContextual"/>
        </w:rPr>
        <w:br/>
      </w:r>
    </w:p>
    <w:p w14:paraId="079E4C61" w14:textId="77777777" w:rsidR="003F3578" w:rsidRPr="003F3578" w:rsidRDefault="003F3578" w:rsidP="003F3578">
      <w:pPr>
        <w:autoSpaceDE w:val="0"/>
        <w:autoSpaceDN w:val="0"/>
        <w:adjustRightInd w:val="0"/>
        <w:spacing w:after="0" w:line="240" w:lineRule="auto"/>
        <w:jc w:val="both"/>
        <w:rPr>
          <w:rFonts w:ascii="Arial" w:eastAsia="Times New Roman" w:hAnsi="Arial" w:cs="Arial"/>
          <w:lang w:eastAsia="en-GB"/>
        </w:rPr>
      </w:pPr>
    </w:p>
    <w:p w14:paraId="5EE4D604" w14:textId="77777777" w:rsidR="003F3578" w:rsidRPr="003F3578" w:rsidRDefault="003F3578" w:rsidP="003F3578">
      <w:pPr>
        <w:rPr>
          <w:rFonts w:ascii="Arial" w:eastAsia="Arial" w:hAnsi="Arial" w:cs="Arial"/>
          <w:b/>
          <w:bCs/>
        </w:rPr>
      </w:pPr>
      <w:r w:rsidRPr="003F3578">
        <w:rPr>
          <w:rFonts w:ascii="Arial" w:eastAsia="Arial" w:hAnsi="Arial" w:cs="Arial"/>
          <w:b/>
          <w:bCs/>
        </w:rPr>
        <w:t xml:space="preserve">Communication, Engagement and Training: </w:t>
      </w:r>
    </w:p>
    <w:p w14:paraId="0BF33AD0" w14:textId="77777777" w:rsidR="003F3578" w:rsidRPr="003F3578" w:rsidRDefault="003F3578" w:rsidP="003F3578">
      <w:pPr>
        <w:numPr>
          <w:ilvl w:val="0"/>
          <w:numId w:val="15"/>
        </w:numPr>
        <w:spacing w:after="0" w:line="240" w:lineRule="auto"/>
        <w:jc w:val="both"/>
        <w:rPr>
          <w:rFonts w:ascii="Arial" w:eastAsia="Times New Roman" w:hAnsi="Arial" w:cs="Arial"/>
          <w:lang w:eastAsia="en-GB"/>
        </w:rPr>
      </w:pPr>
      <w:r w:rsidRPr="003F3578">
        <w:rPr>
          <w:rFonts w:ascii="Arial" w:eastAsia="Times New Roman" w:hAnsi="Arial" w:cs="Arial"/>
          <w:lang w:eastAsia="en-GB"/>
        </w:rPr>
        <w:t>Ability to engage with, Housing Ombudsmen, landlords, tenants and vulnerable clients with diverse needs.</w:t>
      </w:r>
    </w:p>
    <w:p w14:paraId="0D23EB7F" w14:textId="77777777" w:rsidR="003F3578" w:rsidRPr="003F3578" w:rsidRDefault="003F3578" w:rsidP="003F3578">
      <w:pPr>
        <w:numPr>
          <w:ilvl w:val="0"/>
          <w:numId w:val="15"/>
        </w:numPr>
        <w:spacing w:before="120" w:after="0" w:line="240" w:lineRule="auto"/>
        <w:jc w:val="both"/>
        <w:rPr>
          <w:rFonts w:ascii="Arial" w:eastAsia="Calibri" w:hAnsi="Arial" w:cs="Arial"/>
        </w:rPr>
      </w:pPr>
      <w:r w:rsidRPr="003F3578">
        <w:rPr>
          <w:rFonts w:ascii="Arial" w:eastAsia="Times New Roman" w:hAnsi="Arial" w:cs="Arial"/>
          <w:lang w:eastAsia="en-GB"/>
        </w:rPr>
        <w:t xml:space="preserve">Ensure training is up to date and relevant. </w:t>
      </w:r>
    </w:p>
    <w:p w14:paraId="360E27E0" w14:textId="77777777" w:rsidR="003F3578" w:rsidRPr="003F3578" w:rsidRDefault="003F3578" w:rsidP="003F3578">
      <w:pPr>
        <w:spacing w:before="120" w:after="0" w:line="240" w:lineRule="auto"/>
        <w:ind w:left="360"/>
        <w:jc w:val="both"/>
        <w:rPr>
          <w:rFonts w:ascii="Arial" w:eastAsia="Calibri" w:hAnsi="Arial" w:cs="Arial"/>
        </w:rPr>
      </w:pPr>
    </w:p>
    <w:p w14:paraId="581C93D1" w14:textId="77777777" w:rsidR="003F3578" w:rsidRPr="003F3578" w:rsidRDefault="003F3578" w:rsidP="003F3578">
      <w:pPr>
        <w:rPr>
          <w:rFonts w:ascii="Arial" w:eastAsia="Arial" w:hAnsi="Arial" w:cs="Arial"/>
          <w:b/>
          <w:bCs/>
          <w:i/>
          <w:iCs/>
        </w:rPr>
      </w:pPr>
      <w:r w:rsidRPr="003F3578">
        <w:rPr>
          <w:rFonts w:ascii="Arial" w:eastAsia="Arial" w:hAnsi="Arial" w:cs="Arial"/>
          <w:b/>
          <w:bCs/>
        </w:rPr>
        <w:lastRenderedPageBreak/>
        <w:t xml:space="preserve">Compliance: </w:t>
      </w:r>
    </w:p>
    <w:p w14:paraId="5B5F91CA" w14:textId="77777777" w:rsidR="003F3578" w:rsidRPr="003F3578" w:rsidRDefault="003F3578" w:rsidP="003F3578">
      <w:pPr>
        <w:numPr>
          <w:ilvl w:val="0"/>
          <w:numId w:val="7"/>
        </w:numPr>
        <w:contextualSpacing/>
        <w:rPr>
          <w:rFonts w:ascii="Arial" w:eastAsia="Arial" w:hAnsi="Arial" w:cs="Arial"/>
          <w:spacing w:val="30"/>
        </w:rPr>
      </w:pPr>
      <w:r w:rsidRPr="003F3578">
        <w:rPr>
          <w:rFonts w:ascii="Arial" w:eastAsia="Arial" w:hAnsi="Arial" w:cs="Arial"/>
        </w:rPr>
        <w:t>Ensure all data is collated in accordance with all relevant corporate policies and procedures including Health &amp; Safety, General Data Protection Regulations (GDPR), Corporate Governance and Code of Conduct.</w:t>
      </w:r>
    </w:p>
    <w:p w14:paraId="5115F007" w14:textId="3D9BB02E" w:rsidR="00052E9F" w:rsidRPr="003F3578" w:rsidRDefault="003F3578" w:rsidP="003F3578">
      <w:pPr>
        <w:numPr>
          <w:ilvl w:val="0"/>
          <w:numId w:val="7"/>
        </w:numPr>
        <w:contextualSpacing/>
        <w:rPr>
          <w:rFonts w:ascii="Arial" w:eastAsia="Arial" w:hAnsi="Arial" w:cs="Arial"/>
          <w:spacing w:val="30"/>
        </w:rPr>
      </w:pPr>
      <w:r w:rsidRPr="003F3578">
        <w:rPr>
          <w:rFonts w:ascii="Arial" w:eastAsia="Arial" w:hAnsi="Arial" w:cs="Arial"/>
        </w:rPr>
        <w:t>Ensure the correct checking and updating of national PRS landlord database when this is implemented</w:t>
      </w:r>
    </w:p>
    <w:p w14:paraId="59A3C4A4" w14:textId="77777777" w:rsidR="000C3804" w:rsidRPr="000C3804" w:rsidRDefault="000C3804" w:rsidP="000C3804">
      <w:pPr>
        <w:spacing w:after="0" w:line="276" w:lineRule="auto"/>
        <w:jc w:val="both"/>
        <w:rPr>
          <w:rFonts w:ascii="Arial" w:hAnsi="Arial" w:cs="Arial"/>
        </w:rPr>
      </w:pPr>
    </w:p>
    <w:p w14:paraId="0719FD4F" w14:textId="742A1AE5"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02D428DC" w14:textId="77777777" w:rsidR="003F3578" w:rsidRPr="00457ECC" w:rsidRDefault="003F3578" w:rsidP="003F3578">
      <w:pPr>
        <w:numPr>
          <w:ilvl w:val="0"/>
          <w:numId w:val="7"/>
        </w:numPr>
        <w:spacing w:after="5" w:line="250" w:lineRule="auto"/>
        <w:jc w:val="both"/>
        <w:rPr>
          <w:rFonts w:ascii="Arial" w:eastAsia="Arial" w:hAnsi="Arial" w:cs="Arial"/>
          <w:kern w:val="2"/>
          <w:sz w:val="24"/>
          <w:szCs w:val="24"/>
          <w:lang w:eastAsia="en-GB"/>
          <w14:ligatures w14:val="standardContextual"/>
        </w:rPr>
      </w:pPr>
      <w:r w:rsidRPr="00457ECC">
        <w:rPr>
          <w:rFonts w:ascii="Arial" w:eastAsia="Arial" w:hAnsi="Arial" w:cs="Arial"/>
          <w:kern w:val="2"/>
          <w:sz w:val="24"/>
          <w:szCs w:val="24"/>
          <w:lang w:eastAsia="en-GB"/>
          <w14:ligatures w14:val="standardContextual"/>
        </w:rPr>
        <w:t xml:space="preserve">Educated to GCSE level or equivalent. </w:t>
      </w:r>
    </w:p>
    <w:p w14:paraId="203023E4" w14:textId="77777777" w:rsidR="003F3578" w:rsidRPr="00457ECC" w:rsidRDefault="003F3578" w:rsidP="003F3578">
      <w:pPr>
        <w:numPr>
          <w:ilvl w:val="0"/>
          <w:numId w:val="7"/>
        </w:numPr>
        <w:spacing w:after="5" w:line="250" w:lineRule="auto"/>
        <w:jc w:val="both"/>
        <w:rPr>
          <w:rFonts w:ascii="Arial" w:eastAsia="Arial" w:hAnsi="Arial" w:cs="Arial"/>
          <w:kern w:val="2"/>
          <w:sz w:val="24"/>
          <w:szCs w:val="24"/>
          <w:lang w:eastAsia="en-GB"/>
          <w14:ligatures w14:val="standardContextual"/>
        </w:rPr>
      </w:pPr>
      <w:r w:rsidRPr="00457ECC">
        <w:rPr>
          <w:rFonts w:ascii="Arial" w:eastAsia="Aptos" w:hAnsi="Arial" w:cs="Arial"/>
          <w:kern w:val="2"/>
          <w:sz w:val="24"/>
          <w:szCs w:val="24"/>
          <w14:ligatures w14:val="standardContextual"/>
        </w:rPr>
        <w:t>Willingness to undertake and successfully complete the HHSRS qualification as part of the role.</w:t>
      </w:r>
    </w:p>
    <w:p w14:paraId="71DD9C7F" w14:textId="77777777" w:rsidR="003F3578" w:rsidRPr="00645AC9" w:rsidRDefault="003F3578" w:rsidP="003F3578">
      <w:pPr>
        <w:numPr>
          <w:ilvl w:val="0"/>
          <w:numId w:val="7"/>
        </w:numPr>
        <w:spacing w:after="5" w:line="250" w:lineRule="auto"/>
        <w:jc w:val="both"/>
        <w:rPr>
          <w:rFonts w:ascii="Arial" w:eastAsia="Arial" w:hAnsi="Arial" w:cs="Arial"/>
          <w:i/>
          <w:iCs/>
          <w:color w:val="2F5496" w:themeColor="accent1" w:themeShade="BF"/>
          <w:kern w:val="2"/>
          <w:sz w:val="24"/>
          <w:szCs w:val="24"/>
          <w:lang w:eastAsia="en-GB"/>
          <w14:ligatures w14:val="standardContextual"/>
        </w:rPr>
      </w:pPr>
      <w:r w:rsidRPr="00645AC9">
        <w:rPr>
          <w:rFonts w:ascii="Arial" w:eastAsia="Arial" w:hAnsi="Arial" w:cs="Arial"/>
          <w:i/>
          <w:iCs/>
          <w:color w:val="2F5496" w:themeColor="accent1" w:themeShade="BF"/>
          <w:kern w:val="2"/>
          <w:sz w:val="24"/>
          <w:szCs w:val="24"/>
          <w:lang w:eastAsia="en-GB"/>
          <w14:ligatures w14:val="standardContextual"/>
        </w:rPr>
        <w:t xml:space="preserve">Desirable - Housing, Building, Environmental Health or Regeneration degree or equivalent experience. </w:t>
      </w:r>
    </w:p>
    <w:p w14:paraId="5DC9AD98" w14:textId="77777777" w:rsidR="003F3578" w:rsidRPr="00645AC9" w:rsidRDefault="003F3578" w:rsidP="003F3578">
      <w:pPr>
        <w:numPr>
          <w:ilvl w:val="0"/>
          <w:numId w:val="7"/>
        </w:numPr>
        <w:spacing w:after="5" w:line="250" w:lineRule="auto"/>
        <w:jc w:val="both"/>
        <w:rPr>
          <w:rFonts w:ascii="Arial" w:eastAsia="Arial" w:hAnsi="Arial" w:cs="Arial"/>
          <w:i/>
          <w:iCs/>
          <w:color w:val="2F5496" w:themeColor="accent1" w:themeShade="BF"/>
          <w:kern w:val="2"/>
          <w:sz w:val="24"/>
          <w:szCs w:val="24"/>
          <w:lang w:eastAsia="en-GB"/>
          <w14:ligatures w14:val="standardContextual"/>
        </w:rPr>
      </w:pPr>
      <w:r w:rsidRPr="00645AC9">
        <w:rPr>
          <w:rFonts w:ascii="Arial" w:eastAsia="Arial" w:hAnsi="Arial" w:cs="Arial"/>
          <w:i/>
          <w:iCs/>
          <w:color w:val="2F5496" w:themeColor="accent1" w:themeShade="BF"/>
          <w:kern w:val="2"/>
          <w:sz w:val="24"/>
          <w:szCs w:val="24"/>
          <w:lang w:eastAsia="en-GB"/>
          <w14:ligatures w14:val="standardContextual"/>
        </w:rPr>
        <w:t>Desirable - HHSRS Qualification.</w:t>
      </w:r>
    </w:p>
    <w:p w14:paraId="2A4099D6" w14:textId="4D51EE70" w:rsidR="00AE2E99" w:rsidRPr="003F3578" w:rsidRDefault="00AE2E99" w:rsidP="003F3578">
      <w:pPr>
        <w:spacing w:line="240" w:lineRule="auto"/>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15DFEF01" w14:textId="77777777" w:rsidR="00645AC9" w:rsidRPr="00645AC9" w:rsidRDefault="003F3578" w:rsidP="00645AC9">
      <w:pPr>
        <w:pStyle w:val="ListParagraph"/>
        <w:numPr>
          <w:ilvl w:val="0"/>
          <w:numId w:val="20"/>
        </w:numPr>
        <w:spacing w:after="5" w:line="250" w:lineRule="auto"/>
        <w:jc w:val="both"/>
        <w:rPr>
          <w:rFonts w:ascii="Arial" w:eastAsia="Arial" w:hAnsi="Arial" w:cs="Arial"/>
          <w:kern w:val="2"/>
          <w:sz w:val="24"/>
          <w:szCs w:val="24"/>
          <w:lang w:eastAsia="en-GB"/>
          <w14:ligatures w14:val="standardContextual"/>
        </w:rPr>
      </w:pPr>
      <w:r w:rsidRPr="00645AC9">
        <w:rPr>
          <w:rFonts w:ascii="Arial" w:eastAsia="Aptos" w:hAnsi="Arial" w:cs="Arial"/>
          <w:kern w:val="2"/>
          <w:sz w:val="24"/>
          <w:szCs w:val="24"/>
          <w14:ligatures w14:val="standardContextual"/>
        </w:rPr>
        <w:t>Ability to assess and interpret a wide range of legal information, use judgement to make decisions and prioritise cases effectively.</w:t>
      </w:r>
    </w:p>
    <w:p w14:paraId="5DD6584F" w14:textId="77777777" w:rsidR="00645AC9" w:rsidRPr="00645AC9" w:rsidRDefault="003F3578" w:rsidP="00645AC9">
      <w:pPr>
        <w:pStyle w:val="ListParagraph"/>
        <w:numPr>
          <w:ilvl w:val="0"/>
          <w:numId w:val="20"/>
        </w:numPr>
        <w:spacing w:after="5" w:line="250" w:lineRule="auto"/>
        <w:jc w:val="both"/>
        <w:rPr>
          <w:rFonts w:ascii="Arial" w:eastAsia="Arial" w:hAnsi="Arial" w:cs="Arial"/>
          <w:kern w:val="2"/>
          <w:sz w:val="24"/>
          <w:szCs w:val="24"/>
          <w:lang w:eastAsia="en-GB"/>
          <w14:ligatures w14:val="standardContextual"/>
        </w:rPr>
      </w:pPr>
      <w:r w:rsidRPr="00645AC9">
        <w:rPr>
          <w:rFonts w:ascii="Arial" w:eastAsia="Aptos" w:hAnsi="Arial" w:cs="Arial"/>
          <w:kern w:val="2"/>
          <w:sz w:val="24"/>
          <w:szCs w:val="24"/>
          <w14:ligatures w14:val="standardContextual"/>
        </w:rPr>
        <w:t>Strong communication skills, both written and verbal.</w:t>
      </w:r>
    </w:p>
    <w:p w14:paraId="2FCDE678" w14:textId="77777777" w:rsidR="00645AC9" w:rsidRPr="00645AC9" w:rsidRDefault="003F3578" w:rsidP="00645AC9">
      <w:pPr>
        <w:pStyle w:val="ListParagraph"/>
        <w:numPr>
          <w:ilvl w:val="0"/>
          <w:numId w:val="20"/>
        </w:numPr>
        <w:spacing w:after="5" w:line="250" w:lineRule="auto"/>
        <w:jc w:val="both"/>
        <w:rPr>
          <w:rFonts w:ascii="Arial" w:eastAsia="Arial" w:hAnsi="Arial" w:cs="Arial"/>
          <w:kern w:val="2"/>
          <w:sz w:val="24"/>
          <w:szCs w:val="24"/>
          <w:lang w:eastAsia="en-GB"/>
          <w14:ligatures w14:val="standardContextual"/>
        </w:rPr>
      </w:pPr>
      <w:r w:rsidRPr="00645AC9">
        <w:rPr>
          <w:rFonts w:ascii="Arial" w:eastAsia="Aptos" w:hAnsi="Arial" w:cs="Arial"/>
          <w:kern w:val="2"/>
          <w:sz w:val="24"/>
          <w:szCs w:val="24"/>
          <w14:ligatures w14:val="standardContextual"/>
        </w:rPr>
        <w:t>Experience of working with vulnerable customers and sensitive issues.</w:t>
      </w:r>
    </w:p>
    <w:p w14:paraId="14036B52" w14:textId="77777777" w:rsidR="00645AC9" w:rsidRPr="00645AC9" w:rsidRDefault="003F3578" w:rsidP="00645AC9">
      <w:pPr>
        <w:pStyle w:val="ListParagraph"/>
        <w:numPr>
          <w:ilvl w:val="0"/>
          <w:numId w:val="20"/>
        </w:numPr>
        <w:spacing w:after="5" w:line="250" w:lineRule="auto"/>
        <w:jc w:val="both"/>
        <w:rPr>
          <w:rFonts w:ascii="Arial" w:eastAsia="Arial" w:hAnsi="Arial" w:cs="Arial"/>
          <w:kern w:val="2"/>
          <w:sz w:val="24"/>
          <w:szCs w:val="24"/>
          <w:lang w:eastAsia="en-GB"/>
          <w14:ligatures w14:val="standardContextual"/>
        </w:rPr>
      </w:pPr>
      <w:r w:rsidRPr="00645AC9">
        <w:rPr>
          <w:rFonts w:ascii="Arial" w:eastAsia="Aptos" w:hAnsi="Arial" w:cs="Arial"/>
          <w:kern w:val="2"/>
          <w:sz w:val="24"/>
          <w:szCs w:val="24"/>
          <w14:ligatures w14:val="standardContextual"/>
        </w:rPr>
        <w:t>Ability to work across teams and manage multiple cases simultaneously.</w:t>
      </w:r>
    </w:p>
    <w:p w14:paraId="4D78E132" w14:textId="77777777" w:rsidR="00645AC9" w:rsidRPr="00645AC9" w:rsidRDefault="003F3578" w:rsidP="00645AC9">
      <w:pPr>
        <w:pStyle w:val="ListParagraph"/>
        <w:numPr>
          <w:ilvl w:val="0"/>
          <w:numId w:val="20"/>
        </w:numPr>
        <w:spacing w:after="5" w:line="250" w:lineRule="auto"/>
        <w:jc w:val="both"/>
        <w:rPr>
          <w:rFonts w:ascii="Arial" w:eastAsia="Arial" w:hAnsi="Arial" w:cs="Arial"/>
          <w:kern w:val="2"/>
          <w:sz w:val="24"/>
          <w:szCs w:val="24"/>
          <w:lang w:eastAsia="en-GB"/>
          <w14:ligatures w14:val="standardContextual"/>
        </w:rPr>
      </w:pPr>
      <w:r w:rsidRPr="00645AC9">
        <w:rPr>
          <w:rFonts w:ascii="Arial" w:eastAsia="Aptos" w:hAnsi="Arial" w:cs="Arial"/>
          <w:kern w:val="2"/>
          <w:sz w:val="24"/>
          <w:szCs w:val="24"/>
          <w14:ligatures w14:val="standardContextual"/>
        </w:rPr>
        <w:t>Excellent IT skills and experience using case management systems.</w:t>
      </w:r>
    </w:p>
    <w:p w14:paraId="3485BEC0" w14:textId="77777777" w:rsidR="00645AC9" w:rsidRPr="00645AC9" w:rsidRDefault="003F3578" w:rsidP="00645AC9">
      <w:pPr>
        <w:pStyle w:val="ListParagraph"/>
        <w:numPr>
          <w:ilvl w:val="0"/>
          <w:numId w:val="20"/>
        </w:numPr>
        <w:spacing w:after="5" w:line="250" w:lineRule="auto"/>
        <w:jc w:val="both"/>
        <w:rPr>
          <w:rFonts w:ascii="Arial" w:eastAsia="Arial" w:hAnsi="Arial" w:cs="Arial"/>
          <w:color w:val="2F5496" w:themeColor="accent1" w:themeShade="BF"/>
          <w:kern w:val="2"/>
          <w:sz w:val="24"/>
          <w:szCs w:val="24"/>
          <w:lang w:eastAsia="en-GB"/>
          <w14:ligatures w14:val="standardContextual"/>
        </w:rPr>
      </w:pPr>
      <w:r w:rsidRPr="00645AC9">
        <w:rPr>
          <w:rFonts w:ascii="Arial" w:eastAsia="Arial" w:hAnsi="Arial" w:cs="Arial"/>
          <w:i/>
          <w:iCs/>
          <w:color w:val="2F5496" w:themeColor="accent1" w:themeShade="BF"/>
          <w:kern w:val="2"/>
          <w:sz w:val="24"/>
          <w:szCs w:val="24"/>
          <w:lang w:eastAsia="en-GB"/>
          <w14:ligatures w14:val="standardContextual"/>
        </w:rPr>
        <w:t xml:space="preserve">Desirable - </w:t>
      </w:r>
      <w:r w:rsidRPr="00645AC9">
        <w:rPr>
          <w:rFonts w:ascii="Arial" w:eastAsia="Aptos" w:hAnsi="Arial" w:cs="Arial"/>
          <w:i/>
          <w:iCs/>
          <w:color w:val="2F5496" w:themeColor="accent1" w:themeShade="BF"/>
          <w:kern w:val="2"/>
          <w:sz w:val="24"/>
          <w:szCs w:val="24"/>
          <w14:ligatures w14:val="standardContextual"/>
        </w:rPr>
        <w:t>Organised and detail oriented.</w:t>
      </w:r>
    </w:p>
    <w:p w14:paraId="26F64EBB" w14:textId="77777777" w:rsidR="00645AC9" w:rsidRPr="00645AC9" w:rsidRDefault="003F3578" w:rsidP="00645AC9">
      <w:pPr>
        <w:pStyle w:val="ListParagraph"/>
        <w:numPr>
          <w:ilvl w:val="0"/>
          <w:numId w:val="20"/>
        </w:numPr>
        <w:spacing w:after="5" w:line="250" w:lineRule="auto"/>
        <w:jc w:val="both"/>
        <w:rPr>
          <w:rFonts w:ascii="Arial" w:eastAsia="Arial" w:hAnsi="Arial" w:cs="Arial"/>
          <w:color w:val="2F5496" w:themeColor="accent1" w:themeShade="BF"/>
          <w:kern w:val="2"/>
          <w:sz w:val="24"/>
          <w:szCs w:val="24"/>
          <w:lang w:eastAsia="en-GB"/>
          <w14:ligatures w14:val="standardContextual"/>
        </w:rPr>
      </w:pPr>
      <w:r w:rsidRPr="00645AC9">
        <w:rPr>
          <w:rFonts w:ascii="Arial" w:eastAsia="Arial" w:hAnsi="Arial" w:cs="Arial"/>
          <w:i/>
          <w:iCs/>
          <w:color w:val="2F5496" w:themeColor="accent1" w:themeShade="BF"/>
          <w:kern w:val="2"/>
          <w:sz w:val="24"/>
          <w:szCs w:val="24"/>
          <w:lang w:eastAsia="en-GB"/>
          <w14:ligatures w14:val="standardContextual"/>
        </w:rPr>
        <w:t xml:space="preserve">Desirable - </w:t>
      </w:r>
      <w:r w:rsidRPr="00645AC9">
        <w:rPr>
          <w:rFonts w:ascii="Arial" w:eastAsia="Aptos" w:hAnsi="Arial" w:cs="Arial"/>
          <w:i/>
          <w:iCs/>
          <w:color w:val="2F5496" w:themeColor="accent1" w:themeShade="BF"/>
          <w:kern w:val="2"/>
          <w:sz w:val="24"/>
          <w:szCs w:val="24"/>
          <w14:ligatures w14:val="standardContextual"/>
        </w:rPr>
        <w:t>Resilient and calm under pressure.</w:t>
      </w:r>
    </w:p>
    <w:p w14:paraId="0F7A4730" w14:textId="77777777" w:rsidR="00645AC9" w:rsidRPr="00645AC9" w:rsidRDefault="003F3578" w:rsidP="00645AC9">
      <w:pPr>
        <w:pStyle w:val="ListParagraph"/>
        <w:numPr>
          <w:ilvl w:val="0"/>
          <w:numId w:val="20"/>
        </w:numPr>
        <w:spacing w:after="5" w:line="250" w:lineRule="auto"/>
        <w:jc w:val="both"/>
        <w:rPr>
          <w:rFonts w:ascii="Arial" w:eastAsia="Arial" w:hAnsi="Arial" w:cs="Arial"/>
          <w:color w:val="2F5496" w:themeColor="accent1" w:themeShade="BF"/>
          <w:kern w:val="2"/>
          <w:sz w:val="24"/>
          <w:szCs w:val="24"/>
          <w:lang w:eastAsia="en-GB"/>
          <w14:ligatures w14:val="standardContextual"/>
        </w:rPr>
      </w:pPr>
      <w:r w:rsidRPr="00645AC9">
        <w:rPr>
          <w:rFonts w:ascii="Arial" w:eastAsia="Arial" w:hAnsi="Arial" w:cs="Arial"/>
          <w:i/>
          <w:iCs/>
          <w:color w:val="2F5496" w:themeColor="accent1" w:themeShade="BF"/>
          <w:kern w:val="2"/>
          <w:sz w:val="24"/>
          <w:szCs w:val="24"/>
          <w:lang w:eastAsia="en-GB"/>
          <w14:ligatures w14:val="standardContextual"/>
        </w:rPr>
        <w:t xml:space="preserve">Desirable - </w:t>
      </w:r>
      <w:r w:rsidRPr="00645AC9">
        <w:rPr>
          <w:rFonts w:ascii="Arial" w:eastAsia="Aptos" w:hAnsi="Arial" w:cs="Arial"/>
          <w:i/>
          <w:iCs/>
          <w:color w:val="2F5496" w:themeColor="accent1" w:themeShade="BF"/>
          <w:kern w:val="2"/>
          <w:sz w:val="24"/>
          <w:szCs w:val="24"/>
          <w14:ligatures w14:val="standardContextual"/>
        </w:rPr>
        <w:t>Professional, fair and consistent in applying legislation and policy.</w:t>
      </w:r>
    </w:p>
    <w:p w14:paraId="0B1E36C1" w14:textId="77777777" w:rsidR="00645AC9" w:rsidRPr="00645AC9" w:rsidRDefault="003F3578" w:rsidP="00645AC9">
      <w:pPr>
        <w:pStyle w:val="ListParagraph"/>
        <w:numPr>
          <w:ilvl w:val="0"/>
          <w:numId w:val="20"/>
        </w:numPr>
        <w:spacing w:after="5" w:line="250" w:lineRule="auto"/>
        <w:jc w:val="both"/>
        <w:rPr>
          <w:rFonts w:ascii="Arial" w:eastAsia="Arial" w:hAnsi="Arial" w:cs="Arial"/>
          <w:color w:val="2F5496" w:themeColor="accent1" w:themeShade="BF"/>
          <w:kern w:val="2"/>
          <w:sz w:val="24"/>
          <w:szCs w:val="24"/>
          <w:lang w:eastAsia="en-GB"/>
          <w14:ligatures w14:val="standardContextual"/>
        </w:rPr>
      </w:pPr>
      <w:r w:rsidRPr="00645AC9">
        <w:rPr>
          <w:rFonts w:ascii="Arial" w:eastAsia="Arial" w:hAnsi="Arial" w:cs="Arial"/>
          <w:i/>
          <w:iCs/>
          <w:color w:val="2F5496" w:themeColor="accent1" w:themeShade="BF"/>
          <w:kern w:val="2"/>
          <w:sz w:val="24"/>
          <w:szCs w:val="24"/>
          <w:lang w:eastAsia="en-GB"/>
          <w14:ligatures w14:val="standardContextual"/>
        </w:rPr>
        <w:t xml:space="preserve">Desirable - </w:t>
      </w:r>
      <w:r w:rsidRPr="00645AC9">
        <w:rPr>
          <w:rFonts w:ascii="Arial" w:eastAsia="Aptos" w:hAnsi="Arial" w:cs="Arial"/>
          <w:i/>
          <w:iCs/>
          <w:color w:val="2F5496" w:themeColor="accent1" w:themeShade="BF"/>
          <w:kern w:val="2"/>
          <w:sz w:val="24"/>
          <w:szCs w:val="24"/>
          <w14:ligatures w14:val="standardContextual"/>
        </w:rPr>
        <w:t xml:space="preserve">Knowledge of Renters Rights Act and relevant Housing legislation. </w:t>
      </w:r>
    </w:p>
    <w:p w14:paraId="05D92DDF" w14:textId="130D951D" w:rsidR="003F3578" w:rsidRPr="00645AC9" w:rsidRDefault="003F3578" w:rsidP="00645AC9">
      <w:pPr>
        <w:pStyle w:val="ListParagraph"/>
        <w:numPr>
          <w:ilvl w:val="0"/>
          <w:numId w:val="20"/>
        </w:numPr>
        <w:spacing w:after="5" w:line="250" w:lineRule="auto"/>
        <w:jc w:val="both"/>
        <w:rPr>
          <w:rFonts w:ascii="Arial" w:eastAsia="Arial" w:hAnsi="Arial" w:cs="Arial"/>
          <w:color w:val="2F5496" w:themeColor="accent1" w:themeShade="BF"/>
          <w:kern w:val="2"/>
          <w:sz w:val="24"/>
          <w:szCs w:val="24"/>
          <w:lang w:eastAsia="en-GB"/>
          <w14:ligatures w14:val="standardContextual"/>
        </w:rPr>
      </w:pPr>
      <w:r w:rsidRPr="00645AC9">
        <w:rPr>
          <w:rFonts w:ascii="Arial" w:eastAsia="Arial" w:hAnsi="Arial" w:cs="Arial"/>
          <w:i/>
          <w:iCs/>
          <w:color w:val="2F5496" w:themeColor="accent1" w:themeShade="BF"/>
          <w:kern w:val="2"/>
          <w:sz w:val="24"/>
          <w:szCs w:val="24"/>
          <w:lang w:eastAsia="en-GB"/>
          <w14:ligatures w14:val="standardContextual"/>
        </w:rPr>
        <w:t xml:space="preserve">Desirable - </w:t>
      </w:r>
      <w:r w:rsidRPr="00645AC9">
        <w:rPr>
          <w:rFonts w:ascii="Arial" w:eastAsia="Aptos" w:hAnsi="Arial" w:cs="Arial"/>
          <w:i/>
          <w:iCs/>
          <w:color w:val="2F5496" w:themeColor="accent1" w:themeShade="BF"/>
          <w:kern w:val="2"/>
          <w:sz w:val="24"/>
          <w:szCs w:val="24"/>
          <w14:ligatures w14:val="standardContextual"/>
        </w:rPr>
        <w:t>Knowledge of housing law, tenants’ rights or the private rented sector, including awareness of the Renters’ Rights Act.</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0169C056" w14:textId="77777777" w:rsidR="00645AC9" w:rsidRPr="00645AC9" w:rsidRDefault="003F3578" w:rsidP="00645AC9">
      <w:pPr>
        <w:pStyle w:val="ListParagraph"/>
        <w:numPr>
          <w:ilvl w:val="0"/>
          <w:numId w:val="19"/>
        </w:numPr>
        <w:spacing w:after="5" w:line="250" w:lineRule="auto"/>
        <w:jc w:val="both"/>
        <w:rPr>
          <w:rFonts w:ascii="Arial" w:eastAsia="Arial" w:hAnsi="Arial" w:cs="Arial"/>
          <w:kern w:val="2"/>
          <w:sz w:val="24"/>
          <w:szCs w:val="24"/>
          <w:lang w:eastAsia="en-GB"/>
          <w14:ligatures w14:val="standardContextual"/>
        </w:rPr>
      </w:pPr>
      <w:r w:rsidRPr="00645AC9">
        <w:rPr>
          <w:rFonts w:ascii="Arial" w:eastAsia="Aptos" w:hAnsi="Arial" w:cs="Arial"/>
          <w:kern w:val="2"/>
          <w:sz w:val="24"/>
          <w:szCs w:val="24"/>
          <w14:ligatures w14:val="standardContextual"/>
        </w:rPr>
        <w:t>Experience in a local authority or regulatory service providing housing advice.</w:t>
      </w:r>
    </w:p>
    <w:p w14:paraId="2B5931F8" w14:textId="77777777" w:rsidR="00645AC9" w:rsidRPr="00645AC9" w:rsidRDefault="003F3578" w:rsidP="00645AC9">
      <w:pPr>
        <w:pStyle w:val="ListParagraph"/>
        <w:numPr>
          <w:ilvl w:val="0"/>
          <w:numId w:val="19"/>
        </w:numPr>
        <w:spacing w:after="5" w:line="250" w:lineRule="auto"/>
        <w:jc w:val="both"/>
        <w:rPr>
          <w:rFonts w:ascii="Arial" w:eastAsia="Arial" w:hAnsi="Arial" w:cs="Arial"/>
          <w:kern w:val="2"/>
          <w:sz w:val="24"/>
          <w:szCs w:val="24"/>
          <w:lang w:eastAsia="en-GB"/>
          <w14:ligatures w14:val="standardContextual"/>
        </w:rPr>
      </w:pPr>
      <w:r w:rsidRPr="00645AC9">
        <w:rPr>
          <w:rFonts w:ascii="Arial" w:eastAsia="Aptos" w:hAnsi="Arial" w:cs="Arial"/>
          <w:kern w:val="2"/>
          <w:sz w:val="24"/>
          <w:szCs w:val="24"/>
          <w14:ligatures w14:val="standardContextual"/>
        </w:rPr>
        <w:t>Working as part of a team to achieve a positive outcome for those effected.</w:t>
      </w:r>
    </w:p>
    <w:p w14:paraId="57A3983A" w14:textId="77777777" w:rsidR="00645AC9" w:rsidRPr="00645AC9" w:rsidRDefault="003F3578" w:rsidP="00645AC9">
      <w:pPr>
        <w:pStyle w:val="ListParagraph"/>
        <w:numPr>
          <w:ilvl w:val="0"/>
          <w:numId w:val="19"/>
        </w:numPr>
        <w:spacing w:after="5" w:line="250" w:lineRule="auto"/>
        <w:jc w:val="both"/>
        <w:rPr>
          <w:rFonts w:ascii="Arial" w:eastAsia="Arial" w:hAnsi="Arial" w:cs="Arial"/>
          <w:kern w:val="2"/>
          <w:sz w:val="24"/>
          <w:szCs w:val="24"/>
          <w:lang w:eastAsia="en-GB"/>
          <w14:ligatures w14:val="standardContextual"/>
        </w:rPr>
      </w:pPr>
      <w:r w:rsidRPr="00645AC9">
        <w:rPr>
          <w:rFonts w:ascii="Arial" w:eastAsia="Aptos" w:hAnsi="Arial" w:cs="Arial"/>
          <w:kern w:val="2"/>
          <w:sz w:val="24"/>
          <w:szCs w:val="24"/>
          <w14:ligatures w14:val="standardContextual"/>
        </w:rPr>
        <w:t>Experience of handling complaints, casework or customer enquiries in a housing, regulatory or public service environment.</w:t>
      </w:r>
    </w:p>
    <w:p w14:paraId="6A418EEF" w14:textId="77777777" w:rsidR="00645AC9" w:rsidRPr="00645AC9" w:rsidRDefault="003F3578" w:rsidP="00645AC9">
      <w:pPr>
        <w:pStyle w:val="ListParagraph"/>
        <w:numPr>
          <w:ilvl w:val="0"/>
          <w:numId w:val="19"/>
        </w:numPr>
        <w:spacing w:after="5" w:line="250" w:lineRule="auto"/>
        <w:jc w:val="both"/>
        <w:rPr>
          <w:rFonts w:ascii="Arial" w:eastAsia="Arial" w:hAnsi="Arial" w:cs="Arial"/>
          <w:color w:val="2F5496" w:themeColor="accent1" w:themeShade="BF"/>
          <w:kern w:val="2"/>
          <w:sz w:val="24"/>
          <w:szCs w:val="24"/>
          <w:lang w:eastAsia="en-GB"/>
          <w14:ligatures w14:val="standardContextual"/>
        </w:rPr>
      </w:pPr>
      <w:r w:rsidRPr="00645AC9">
        <w:rPr>
          <w:rFonts w:ascii="Arial" w:eastAsia="Arial" w:hAnsi="Arial" w:cs="Arial"/>
          <w:i/>
          <w:iCs/>
          <w:color w:val="2F5496" w:themeColor="accent1" w:themeShade="BF"/>
          <w:kern w:val="2"/>
          <w:sz w:val="24"/>
          <w:szCs w:val="24"/>
          <w:lang w:eastAsia="en-GB"/>
          <w14:ligatures w14:val="standardContextual"/>
        </w:rPr>
        <w:t xml:space="preserve">Desirable - </w:t>
      </w:r>
      <w:r w:rsidRPr="00645AC9">
        <w:rPr>
          <w:rFonts w:ascii="Arial" w:eastAsia="Aptos" w:hAnsi="Arial" w:cs="Arial"/>
          <w:i/>
          <w:iCs/>
          <w:color w:val="2F5496" w:themeColor="accent1" w:themeShade="BF"/>
          <w:kern w:val="2"/>
          <w:sz w:val="24"/>
          <w:szCs w:val="24"/>
          <w14:ligatures w14:val="standardContextual"/>
        </w:rPr>
        <w:t>Experience of multi-agency working.</w:t>
      </w:r>
    </w:p>
    <w:p w14:paraId="70650F33" w14:textId="77777777" w:rsidR="00645AC9" w:rsidRPr="00645AC9" w:rsidRDefault="003F3578" w:rsidP="00645AC9">
      <w:pPr>
        <w:pStyle w:val="ListParagraph"/>
        <w:numPr>
          <w:ilvl w:val="0"/>
          <w:numId w:val="19"/>
        </w:numPr>
        <w:spacing w:after="5" w:line="250" w:lineRule="auto"/>
        <w:jc w:val="both"/>
        <w:rPr>
          <w:rFonts w:ascii="Arial" w:eastAsia="Arial" w:hAnsi="Arial" w:cs="Arial"/>
          <w:color w:val="2F5496" w:themeColor="accent1" w:themeShade="BF"/>
          <w:kern w:val="2"/>
          <w:sz w:val="24"/>
          <w:szCs w:val="24"/>
          <w:lang w:eastAsia="en-GB"/>
          <w14:ligatures w14:val="standardContextual"/>
        </w:rPr>
      </w:pPr>
      <w:r w:rsidRPr="00645AC9">
        <w:rPr>
          <w:rFonts w:ascii="Arial" w:eastAsia="Arial" w:hAnsi="Arial" w:cs="Arial"/>
          <w:i/>
          <w:iCs/>
          <w:color w:val="2F5496" w:themeColor="accent1" w:themeShade="BF"/>
          <w:kern w:val="2"/>
          <w:sz w:val="24"/>
          <w:szCs w:val="24"/>
          <w:lang w:eastAsia="en-GB"/>
          <w14:ligatures w14:val="standardContextual"/>
        </w:rPr>
        <w:t xml:space="preserve">Desirable - </w:t>
      </w:r>
      <w:r w:rsidRPr="00645AC9">
        <w:rPr>
          <w:rFonts w:ascii="Arial" w:eastAsia="Aptos" w:hAnsi="Arial" w:cs="Arial"/>
          <w:i/>
          <w:iCs/>
          <w:color w:val="2F5496" w:themeColor="accent1" w:themeShade="BF"/>
          <w:kern w:val="2"/>
          <w:sz w:val="24"/>
          <w:szCs w:val="24"/>
          <w14:ligatures w14:val="standardContextual"/>
        </w:rPr>
        <w:t>Understanding of equality, discrimination and safeguarding in housing contexts.</w:t>
      </w:r>
    </w:p>
    <w:p w14:paraId="297B3FA6" w14:textId="77777777" w:rsidR="00645AC9" w:rsidRPr="00645AC9" w:rsidRDefault="003F3578" w:rsidP="00645AC9">
      <w:pPr>
        <w:pStyle w:val="ListParagraph"/>
        <w:numPr>
          <w:ilvl w:val="0"/>
          <w:numId w:val="19"/>
        </w:numPr>
        <w:spacing w:after="5" w:line="250" w:lineRule="auto"/>
        <w:jc w:val="both"/>
        <w:rPr>
          <w:rFonts w:ascii="Arial" w:eastAsia="Arial" w:hAnsi="Arial" w:cs="Arial"/>
          <w:color w:val="2F5496" w:themeColor="accent1" w:themeShade="BF"/>
          <w:kern w:val="2"/>
          <w:sz w:val="24"/>
          <w:szCs w:val="24"/>
          <w:lang w:eastAsia="en-GB"/>
          <w14:ligatures w14:val="standardContextual"/>
        </w:rPr>
      </w:pPr>
      <w:r w:rsidRPr="00645AC9">
        <w:rPr>
          <w:rFonts w:ascii="Arial" w:eastAsia="Arial" w:hAnsi="Arial" w:cs="Arial"/>
          <w:i/>
          <w:iCs/>
          <w:color w:val="2F5496" w:themeColor="accent1" w:themeShade="BF"/>
          <w:kern w:val="2"/>
          <w:sz w:val="24"/>
          <w:szCs w:val="24"/>
          <w:lang w:eastAsia="en-GB"/>
          <w14:ligatures w14:val="standardContextual"/>
        </w:rPr>
        <w:t xml:space="preserve">Desirable - </w:t>
      </w:r>
      <w:r w:rsidRPr="00645AC9">
        <w:rPr>
          <w:rFonts w:ascii="Arial" w:eastAsia="Aptos" w:hAnsi="Arial" w:cs="Arial"/>
          <w:i/>
          <w:iCs/>
          <w:color w:val="2F5496" w:themeColor="accent1" w:themeShade="BF"/>
          <w:kern w:val="2"/>
          <w:sz w:val="24"/>
          <w:szCs w:val="24"/>
          <w14:ligatures w14:val="standardContextual"/>
        </w:rPr>
        <w:t>Experience in applying HHSRS or property condition assessments.</w:t>
      </w:r>
    </w:p>
    <w:p w14:paraId="07001F14" w14:textId="0C9E2196" w:rsidR="003F3578" w:rsidRPr="00645AC9" w:rsidRDefault="003F3578" w:rsidP="00645AC9">
      <w:pPr>
        <w:pStyle w:val="ListParagraph"/>
        <w:numPr>
          <w:ilvl w:val="0"/>
          <w:numId w:val="19"/>
        </w:numPr>
        <w:spacing w:after="5" w:line="250" w:lineRule="auto"/>
        <w:jc w:val="both"/>
        <w:rPr>
          <w:rFonts w:ascii="Arial" w:eastAsia="Arial" w:hAnsi="Arial" w:cs="Arial"/>
          <w:color w:val="2F5496" w:themeColor="accent1" w:themeShade="BF"/>
          <w:kern w:val="2"/>
          <w:sz w:val="24"/>
          <w:szCs w:val="24"/>
          <w:lang w:eastAsia="en-GB"/>
          <w14:ligatures w14:val="standardContextual"/>
        </w:rPr>
      </w:pPr>
      <w:r w:rsidRPr="00645AC9">
        <w:rPr>
          <w:rFonts w:ascii="Arial" w:eastAsia="Arial" w:hAnsi="Arial" w:cs="Arial"/>
          <w:i/>
          <w:iCs/>
          <w:color w:val="2F5496" w:themeColor="accent1" w:themeShade="BF"/>
          <w:kern w:val="2"/>
          <w:sz w:val="24"/>
          <w:szCs w:val="24"/>
          <w:lang w:eastAsia="en-GB"/>
          <w14:ligatures w14:val="standardContextual"/>
        </w:rPr>
        <w:lastRenderedPageBreak/>
        <w:t xml:space="preserve">Desirable - </w:t>
      </w:r>
      <w:r w:rsidRPr="00645AC9">
        <w:rPr>
          <w:rFonts w:ascii="Arial" w:eastAsia="Aptos" w:hAnsi="Arial" w:cs="Arial"/>
          <w:i/>
          <w:iCs/>
          <w:color w:val="2F5496" w:themeColor="accent1" w:themeShade="BF"/>
          <w:kern w:val="2"/>
          <w:sz w:val="24"/>
          <w:szCs w:val="24"/>
          <w14:ligatures w14:val="standardContextual"/>
        </w:rPr>
        <w:t>Knowledge of environmental health, housing enforcement, homelessness prevention or trading standards.</w:t>
      </w:r>
    </w:p>
    <w:p w14:paraId="4B2CCE03" w14:textId="7213B158" w:rsidR="00757B16" w:rsidRPr="00EF6B89" w:rsidRDefault="00757B16" w:rsidP="000C3804">
      <w:pPr>
        <w:pStyle w:val="ListParagraph"/>
        <w:ind w:left="360"/>
        <w:rPr>
          <w:rFonts w:ascii="Arial" w:hAnsi="Arial" w:cs="Arial"/>
        </w:rPr>
      </w:pPr>
    </w:p>
    <w:p w14:paraId="75A339F1" w14:textId="0C2E3861"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219FBD35"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302F26BA"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3F3578">
        <w:rPr>
          <w:rFonts w:ascii="Arial" w:eastAsia="Arial" w:hAnsi="Arial" w:cs="Arial"/>
          <w:caps w:val="0"/>
          <w:color w:val="4472C4" w:themeColor="accent1"/>
          <w:spacing w:val="30"/>
        </w:rPr>
        <w:t>Lisa Newman – AD Housing Services</w:t>
      </w:r>
    </w:p>
    <w:p w14:paraId="462C2EA2" w14:textId="2B0A3806"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3F3578">
        <w:rPr>
          <w:rFonts w:ascii="Arial" w:eastAsia="Arial" w:hAnsi="Arial" w:cs="Arial"/>
          <w:caps w:val="0"/>
          <w:color w:val="4472C4" w:themeColor="accent1"/>
          <w:spacing w:val="30"/>
        </w:rPr>
        <w:t>April 2026</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BA20742"/>
    <w:multiLevelType w:val="hybridMultilevel"/>
    <w:tmpl w:val="2362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0D766C5"/>
    <w:multiLevelType w:val="hybridMultilevel"/>
    <w:tmpl w:val="B030B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8160A5"/>
    <w:multiLevelType w:val="hybridMultilevel"/>
    <w:tmpl w:val="BD585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06664B"/>
    <w:multiLevelType w:val="hybridMultilevel"/>
    <w:tmpl w:val="2F84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0"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F1A3C29"/>
    <w:multiLevelType w:val="hybridMultilevel"/>
    <w:tmpl w:val="64C4112A"/>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03A6928"/>
    <w:multiLevelType w:val="hybridMultilevel"/>
    <w:tmpl w:val="0186F14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3"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4"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6"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5E525C"/>
    <w:multiLevelType w:val="hybridMultilevel"/>
    <w:tmpl w:val="ADDC5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8"/>
  </w:num>
  <w:num w:numId="3" w16cid:durableId="764040294">
    <w:abstractNumId w:val="3"/>
  </w:num>
  <w:num w:numId="4" w16cid:durableId="261383344">
    <w:abstractNumId w:val="15"/>
  </w:num>
  <w:num w:numId="5" w16cid:durableId="569661669">
    <w:abstractNumId w:val="9"/>
  </w:num>
  <w:num w:numId="6" w16cid:durableId="966739119">
    <w:abstractNumId w:val="13"/>
  </w:num>
  <w:num w:numId="7" w16cid:durableId="1139498961">
    <w:abstractNumId w:val="14"/>
  </w:num>
  <w:num w:numId="8" w16cid:durableId="2114737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8"/>
  </w:num>
  <w:num w:numId="10" w16cid:durableId="216553125">
    <w:abstractNumId w:val="7"/>
  </w:num>
  <w:num w:numId="11" w16cid:durableId="578946080">
    <w:abstractNumId w:val="2"/>
  </w:num>
  <w:num w:numId="12" w16cid:durableId="717364285">
    <w:abstractNumId w:val="16"/>
  </w:num>
  <w:num w:numId="13" w16cid:durableId="1824080810">
    <w:abstractNumId w:val="10"/>
  </w:num>
  <w:num w:numId="14" w16cid:durableId="617761585">
    <w:abstractNumId w:val="12"/>
  </w:num>
  <w:num w:numId="15" w16cid:durableId="550195469">
    <w:abstractNumId w:val="11"/>
  </w:num>
  <w:num w:numId="16" w16cid:durableId="1143157947">
    <w:abstractNumId w:val="5"/>
  </w:num>
  <w:num w:numId="17" w16cid:durableId="1346444265">
    <w:abstractNumId w:val="17"/>
  </w:num>
  <w:num w:numId="18" w16cid:durableId="564418706">
    <w:abstractNumId w:val="4"/>
  </w:num>
  <w:num w:numId="19" w16cid:durableId="711459310">
    <w:abstractNumId w:val="6"/>
  </w:num>
  <w:num w:numId="20" w16cid:durableId="74791868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357C1"/>
    <w:rsid w:val="00142156"/>
    <w:rsid w:val="001538FB"/>
    <w:rsid w:val="00157871"/>
    <w:rsid w:val="00162C39"/>
    <w:rsid w:val="001756C2"/>
    <w:rsid w:val="00191133"/>
    <w:rsid w:val="001927BA"/>
    <w:rsid w:val="00195AF4"/>
    <w:rsid w:val="00196BF7"/>
    <w:rsid w:val="001A36A8"/>
    <w:rsid w:val="001A4B41"/>
    <w:rsid w:val="001B05B3"/>
    <w:rsid w:val="001B2200"/>
    <w:rsid w:val="001B53D2"/>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4A54"/>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3F3578"/>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5AC9"/>
    <w:rsid w:val="00646968"/>
    <w:rsid w:val="00647227"/>
    <w:rsid w:val="00650004"/>
    <w:rsid w:val="00650E15"/>
    <w:rsid w:val="006631A1"/>
    <w:rsid w:val="0066327A"/>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E7FCC"/>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158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38A8"/>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3FA3"/>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6269D"/>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693C"/>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51beee7a-8503-43ce-9498-a5ebec0a15d4"/>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2cc813e4-7c17-4d24-8a3e-7bfd1eec4da8"/>
    <ds:schemaRef ds:uri="http://www.w3.org/XML/1998/namespace"/>
    <ds:schemaRef ds:uri="http://purl.org/dc/terms/"/>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6142</Characters>
  <Application>Microsoft Office Word</Application>
  <DocSecurity>4</DocSecurity>
  <Lines>141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2026-04-10T09:09:00Z</dcterms:created>
  <dcterms:modified xsi:type="dcterms:W3CDTF">2026-04-10T09:09:00Z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