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5A1706AA" w:rsidR="00866FD0" w:rsidRPr="00F176D3" w:rsidRDefault="00292BF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Tenancy Enforcement Officer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61730C92" w:rsidR="00866FD0" w:rsidRPr="00F176D3" w:rsidRDefault="00090CA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Private Sector Housing</w:t>
            </w:r>
            <w:r w:rsidR="00AE3538">
              <w:rPr>
                <w:rFonts w:ascii="Arial" w:hAnsi="Arial" w:cs="Arial"/>
                <w:sz w:val="24"/>
                <w:szCs w:val="24"/>
              </w:rPr>
              <w:t xml:space="preserve"> &amp; Public Health Team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26DC5B51" w:rsidR="00866FD0" w:rsidRPr="00F176D3" w:rsidRDefault="00090CA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Scale </w:t>
            </w:r>
            <w:r w:rsidR="003559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56740" w:rsidRPr="00F176D3" w14:paraId="55446181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4A2969AE" w14:textId="4C13CCEC" w:rsidR="00456740" w:rsidRPr="00F176D3" w:rsidRDefault="0045674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86" w:type="dxa"/>
            <w:gridSpan w:val="3"/>
            <w:vAlign w:val="center"/>
          </w:tcPr>
          <w:p w14:paraId="1AE4C41E" w14:textId="082584F4" w:rsidR="00456740" w:rsidRPr="00F176D3" w:rsidRDefault="00090CA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Principal Environmental Health Officer</w:t>
            </w:r>
          </w:p>
        </w:tc>
      </w:tr>
      <w:tr w:rsidR="00007E90" w:rsidRPr="00F176D3" w14:paraId="159BD2B0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3DC8B3DF" w14:textId="5553D455" w:rsidR="00007E90" w:rsidRDefault="00007E9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686" w:type="dxa"/>
            <w:gridSpan w:val="3"/>
            <w:vAlign w:val="center"/>
          </w:tcPr>
          <w:p w14:paraId="57A9512B" w14:textId="2C39279A" w:rsidR="00007E90" w:rsidRPr="00F176D3" w:rsidRDefault="00866564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</w:t>
            </w:r>
            <w:r w:rsidR="00292BFA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</w:tbl>
    <w:p w14:paraId="36A5DAFB" w14:textId="77777777" w:rsidR="001747C9" w:rsidRDefault="001747C9" w:rsidP="00856869">
      <w:pPr>
        <w:rPr>
          <w:rFonts w:ascii="Arial" w:hAnsi="Arial" w:cs="Arial"/>
          <w:b/>
          <w:bCs/>
          <w:sz w:val="24"/>
          <w:szCs w:val="24"/>
        </w:rPr>
      </w:pPr>
    </w:p>
    <w:p w14:paraId="5405378E" w14:textId="47C4ACED" w:rsidR="0041018A" w:rsidRPr="00F176D3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41018A">
        <w:trPr>
          <w:trHeight w:val="2589"/>
          <w:tblCellSpacing w:w="20" w:type="dxa"/>
        </w:trPr>
        <w:tc>
          <w:tcPr>
            <w:tcW w:w="8916" w:type="dxa"/>
          </w:tcPr>
          <w:p w14:paraId="2A52EECC" w14:textId="675AB98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>
              <w:rPr>
                <w:rFonts w:cs="Arial"/>
                <w:szCs w:val="24"/>
              </w:rPr>
              <w:t>E</w:t>
            </w:r>
            <w:r w:rsidR="001747C9">
              <w:rPr>
                <w:rFonts w:cs="Arial"/>
                <w:szCs w:val="24"/>
              </w:rPr>
              <w:t xml:space="preserve">very role at Arun contributes towards our </w:t>
            </w:r>
            <w:hyperlink r:id="rId13" w:history="1">
              <w:r w:rsidR="001747C9" w:rsidRPr="001747C9">
                <w:rPr>
                  <w:rStyle w:val="Hyperlink"/>
                  <w:rFonts w:cs="Arial"/>
                  <w:b/>
                  <w:bCs/>
                  <w:szCs w:val="24"/>
                </w:rPr>
                <w:t xml:space="preserve">Vision – </w:t>
              </w:r>
              <w:r w:rsidR="001747C9" w:rsidRPr="001747C9">
                <w:rPr>
                  <w:rStyle w:val="Hyperlink"/>
                  <w:rFonts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 w:rsidR="001747C9"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14" w:anchor="search=arun%20values" w:history="1">
              <w:r w:rsidR="001747C9" w:rsidRPr="0041018A">
                <w:rPr>
                  <w:rStyle w:val="Hyperlink"/>
                  <w:rFonts w:cs="Arial"/>
                  <w:b/>
                  <w:bCs/>
                  <w:szCs w:val="24"/>
                </w:rPr>
                <w:t>Values</w:t>
              </w:r>
            </w:hyperlink>
            <w:r>
              <w:rPr>
                <w:rFonts w:cs="Arial"/>
                <w:b/>
                <w:bCs/>
                <w:szCs w:val="24"/>
              </w:rPr>
              <w:t>:</w:t>
            </w:r>
          </w:p>
          <w:p w14:paraId="6DF78F22" w14:textId="1E8C804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D8E412" wp14:editId="1CAF0632">
                  <wp:simplePos x="0" y="0"/>
                  <wp:positionH relativeFrom="column">
                    <wp:posOffset>328295</wp:posOffset>
                  </wp:positionH>
                  <wp:positionV relativeFrom="page">
                    <wp:posOffset>457835</wp:posOffset>
                  </wp:positionV>
                  <wp:extent cx="4870450" cy="1178560"/>
                  <wp:effectExtent l="0" t="0" r="6350" b="2540"/>
                  <wp:wrapNone/>
                  <wp:docPr id="5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chat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4D7E3A" w14:textId="1AC678CF" w:rsidR="0041018A" w:rsidRPr="00F176D3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24E97A79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171C114F" w14:textId="33E09E72" w:rsid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1018A" w:rsidRPr="00F176D3" w14:paraId="6A05F6E1" w14:textId="77777777" w:rsidTr="00772130">
        <w:trPr>
          <w:trHeight w:val="1714"/>
          <w:tblCellSpacing w:w="20" w:type="dxa"/>
        </w:trPr>
        <w:tc>
          <w:tcPr>
            <w:tcW w:w="8916" w:type="dxa"/>
          </w:tcPr>
          <w:p w14:paraId="707D647C" w14:textId="77777777" w:rsidR="00090CAB" w:rsidRDefault="00090CAB" w:rsidP="00090CA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 w:rsidRPr="00090CAB">
              <w:rPr>
                <w:szCs w:val="24"/>
              </w:rPr>
              <w:t>To assist the Private Sector Housing and Public Health Team in protecting and improving our community’s health and environment.</w:t>
            </w:r>
          </w:p>
          <w:p w14:paraId="0389C5AB" w14:textId="77777777" w:rsidR="005C6A94" w:rsidRDefault="005C6A94" w:rsidP="00090CA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</w:p>
          <w:p w14:paraId="1E4412AF" w14:textId="32852666" w:rsidR="005C6A94" w:rsidRPr="00090CAB" w:rsidRDefault="005C6A94" w:rsidP="00090CA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To </w:t>
            </w:r>
            <w:r w:rsidR="006C625E">
              <w:rPr>
                <w:szCs w:val="24"/>
              </w:rPr>
              <w:t xml:space="preserve">take the lead in respect of </w:t>
            </w:r>
            <w:r>
              <w:rPr>
                <w:szCs w:val="24"/>
              </w:rPr>
              <w:t>safeguard</w:t>
            </w:r>
            <w:r w:rsidR="00141412">
              <w:rPr>
                <w:szCs w:val="24"/>
              </w:rPr>
              <w:t>ing</w:t>
            </w:r>
            <w:r>
              <w:rPr>
                <w:szCs w:val="24"/>
              </w:rPr>
              <w:t xml:space="preserve"> the rights of prospective and existing tenants in the private rented sector, primarily in their rights of occupation.</w:t>
            </w:r>
          </w:p>
          <w:p w14:paraId="23EA2E7B" w14:textId="77777777" w:rsidR="0041018A" w:rsidRPr="00F176D3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</w:tc>
      </w:tr>
    </w:tbl>
    <w:p w14:paraId="5502D7DC" w14:textId="77777777" w:rsidR="0041018A" w:rsidRP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866FD0" w:rsidRPr="00F176D3" w14:paraId="7AC009C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096760"/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A6834D8" w14:textId="761B4917" w:rsidR="00F176D3" w:rsidRPr="005C6A94" w:rsidRDefault="005C6A94" w:rsidP="005C6A94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cs="Arial"/>
                <w:szCs w:val="24"/>
              </w:rPr>
            </w:pPr>
            <w:r w:rsidRPr="005C6A94">
              <w:rPr>
                <w:szCs w:val="24"/>
              </w:rPr>
              <w:t>To give tenancy and housing law advice to tenants, landlords, letting agents, property managers, colleagues, partner agencies, and others; in particular, advice relating to the Renters’ Rights Act 2025, the Housing Act 1988, the Landlord and Tenant Act 1985, and the Protection from Eviction Act 1977.</w:t>
            </w:r>
          </w:p>
        </w:tc>
      </w:tr>
      <w:tr w:rsidR="00866FD0" w:rsidRPr="00F176D3" w14:paraId="2C89FE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444D45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F91EEFB" w14:textId="24F6A1F0" w:rsidR="00F176D3" w:rsidRPr="005C6A94" w:rsidRDefault="005C6A94" w:rsidP="005C6A94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cs="Arial"/>
                <w:szCs w:val="24"/>
              </w:rPr>
            </w:pPr>
            <w:r w:rsidRPr="005C6A94">
              <w:rPr>
                <w:szCs w:val="24"/>
              </w:rPr>
              <w:t>To work collaboratively with the Housing Options Team to deliver a joined-up response to tenancy-related concerns and allegations.</w:t>
            </w:r>
          </w:p>
        </w:tc>
      </w:tr>
      <w:tr w:rsidR="00866FD0" w:rsidRPr="00F176D3" w14:paraId="2E3C6D2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505D1F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0B53F075" w14:textId="65FB1B24" w:rsidR="00F176D3" w:rsidRPr="006C625E" w:rsidRDefault="005C6A94" w:rsidP="005C6A94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cs="Arial"/>
                <w:szCs w:val="24"/>
              </w:rPr>
            </w:pPr>
            <w:r w:rsidRPr="006C625E">
              <w:rPr>
                <w:szCs w:val="24"/>
              </w:rPr>
              <w:t>To investigate complaints and referrals that relate to alleged tenancy and housing law breaches and offences in accordance</w:t>
            </w:r>
            <w:r w:rsidR="006C625E" w:rsidRPr="006C625E">
              <w:rPr>
                <w:szCs w:val="24"/>
              </w:rPr>
              <w:t xml:space="preserve">, </w:t>
            </w:r>
            <w:r w:rsidRPr="006C625E">
              <w:rPr>
                <w:szCs w:val="24"/>
              </w:rPr>
              <w:t>including, where necessary, the undertaking of investigatory visits to residential and other premises.</w:t>
            </w:r>
          </w:p>
        </w:tc>
      </w:tr>
      <w:tr w:rsidR="006C625E" w:rsidRPr="00F176D3" w14:paraId="275DB852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05AF4CC" w14:textId="23216A64" w:rsidR="006C625E" w:rsidRPr="00F176D3" w:rsidRDefault="006C625E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8266" w:type="dxa"/>
          </w:tcPr>
          <w:p w14:paraId="7C6E1D0F" w14:textId="6E5539CC" w:rsidR="006C625E" w:rsidRPr="006C625E" w:rsidRDefault="006C625E" w:rsidP="005C6A94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szCs w:val="24"/>
              </w:rPr>
            </w:pPr>
            <w:r w:rsidRPr="006C625E">
              <w:rPr>
                <w:szCs w:val="24"/>
              </w:rPr>
              <w:t>To create procedures for dealing with tenancy related matters, including enforcement action as appropriate.</w:t>
            </w:r>
          </w:p>
        </w:tc>
      </w:tr>
      <w:bookmarkEnd w:id="1"/>
      <w:tr w:rsidR="00866FD0" w:rsidRPr="00F176D3" w14:paraId="6A5D72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F354BC9" w14:textId="696FDDF3" w:rsidR="00866FD0" w:rsidRPr="00F176D3" w:rsidRDefault="006C625E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66FD0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1AA94234" w14:textId="7DA6D0EF" w:rsidR="00F176D3" w:rsidRPr="006C625E" w:rsidRDefault="005C6A94" w:rsidP="005C6A94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cs="Arial"/>
                <w:szCs w:val="24"/>
              </w:rPr>
            </w:pPr>
            <w:r w:rsidRPr="006C625E">
              <w:rPr>
                <w:szCs w:val="24"/>
              </w:rPr>
              <w:t>To respond proactively to live situations in an attempt to prevent harassment, unlawful evictions and other tenancy-related breaches and offences.</w:t>
            </w:r>
          </w:p>
        </w:tc>
      </w:tr>
      <w:tr w:rsidR="00866FD0" w:rsidRPr="00F176D3" w14:paraId="162886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E07E986" w14:textId="1284961A" w:rsidR="00866FD0" w:rsidRPr="00F176D3" w:rsidRDefault="006C625E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66FD0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30966EE1" w14:textId="5E1CF556" w:rsidR="00866FD0" w:rsidRPr="006C625E" w:rsidRDefault="005C6A94" w:rsidP="005C6A94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cs="Arial"/>
                <w:szCs w:val="24"/>
              </w:rPr>
            </w:pPr>
            <w:r w:rsidRPr="006C625E">
              <w:rPr>
                <w:szCs w:val="24"/>
              </w:rPr>
              <w:t>To keep</w:t>
            </w:r>
            <w:r w:rsidR="00393097">
              <w:rPr>
                <w:szCs w:val="24"/>
              </w:rPr>
              <w:t xml:space="preserve"> </w:t>
            </w:r>
            <w:r w:rsidRPr="006C625E">
              <w:rPr>
                <w:szCs w:val="24"/>
              </w:rPr>
              <w:t>precise notes and accurate computerised records of all work undertaken in accordance with departmental procedures.</w:t>
            </w:r>
          </w:p>
        </w:tc>
      </w:tr>
      <w:tr w:rsidR="006C625E" w:rsidRPr="00F176D3" w14:paraId="1A12CF56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34ACD5E" w14:textId="48304D75" w:rsidR="006C625E" w:rsidRDefault="005A1207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</w:tcPr>
          <w:p w14:paraId="47B58742" w14:textId="7612C5B7" w:rsidR="006C625E" w:rsidRPr="006C625E" w:rsidRDefault="006C625E" w:rsidP="005C6A94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Ensure effective use and development of the team’s IT system to maintain up to date case records, produce reports and provide appropriate data for Government returns.</w:t>
            </w:r>
          </w:p>
        </w:tc>
      </w:tr>
      <w:tr w:rsidR="00866FD0" w:rsidRPr="00F176D3" w14:paraId="6281DDD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B24CC4" w14:textId="40AEB990" w:rsidR="00866FD0" w:rsidRPr="00F176D3" w:rsidRDefault="005A1207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66FD0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237D20B" w14:textId="6940007E" w:rsidR="00F176D3" w:rsidRPr="006C625E" w:rsidRDefault="005C6A94" w:rsidP="005C6A94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cs="Arial"/>
                <w:szCs w:val="24"/>
              </w:rPr>
            </w:pPr>
            <w:r w:rsidRPr="006C625E">
              <w:rPr>
                <w:szCs w:val="24"/>
              </w:rPr>
              <w:t>To ensure the Protection from Eviction Act 1977</w:t>
            </w:r>
            <w:r w:rsidR="00393097">
              <w:rPr>
                <w:szCs w:val="24"/>
              </w:rPr>
              <w:t xml:space="preserve"> and Protection from Harassment Act 1997</w:t>
            </w:r>
            <w:r w:rsidRPr="006C625E">
              <w:rPr>
                <w:szCs w:val="24"/>
              </w:rPr>
              <w:t xml:space="preserve"> is effectively enforced in relation to unlawful evictions and harassment.</w:t>
            </w:r>
          </w:p>
        </w:tc>
      </w:tr>
      <w:tr w:rsidR="00866FD0" w:rsidRPr="00F176D3" w14:paraId="58EBD6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286609" w14:textId="63FA33F7" w:rsidR="00866FD0" w:rsidRPr="00F176D3" w:rsidRDefault="005A1207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66FD0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7DF3472" w14:textId="2A80BFC4" w:rsidR="00F176D3" w:rsidRPr="006C625E" w:rsidRDefault="005C6A94" w:rsidP="006C625E">
            <w:pPr>
              <w:pStyle w:val="Default"/>
            </w:pPr>
            <w:r w:rsidRPr="006C625E">
              <w:t>To ensure the provisions contained in the Housing Act 1988, in particular those introduced by the Renters’ Rights Act 2025, are effectively enforced. These concern a wide range of tenancy-related restrictions and provisions that follow the abolition of no-fault (section 21) evictions</w:t>
            </w:r>
            <w:r w:rsidR="00EE0FC6">
              <w:t xml:space="preserve"> and other tenancy matters.</w:t>
            </w:r>
          </w:p>
        </w:tc>
      </w:tr>
      <w:tr w:rsidR="00866FD0" w:rsidRPr="00F176D3" w14:paraId="121C8D3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987055" w14:textId="38CCAE16" w:rsidR="00866FD0" w:rsidRPr="00F176D3" w:rsidRDefault="005A1207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66FD0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51A6EE0" w14:textId="333D5F22" w:rsidR="00F176D3" w:rsidRPr="006C625E" w:rsidRDefault="005C6A94" w:rsidP="009C28E1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cs="Arial"/>
                <w:szCs w:val="24"/>
              </w:rPr>
            </w:pPr>
            <w:r w:rsidRPr="006C625E">
              <w:rPr>
                <w:szCs w:val="24"/>
              </w:rPr>
              <w:t>To provide witness statements, and to assist victims and other witnesses in giving witness statements.</w:t>
            </w:r>
          </w:p>
        </w:tc>
      </w:tr>
      <w:tr w:rsidR="00866FD0" w:rsidRPr="00F176D3" w14:paraId="7D8BD4A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C61A0E3" w14:textId="5BB017B0" w:rsidR="00866FD0" w:rsidRPr="00F176D3" w:rsidRDefault="006C625E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A1207">
              <w:rPr>
                <w:rFonts w:ascii="Arial" w:hAnsi="Arial" w:cs="Arial"/>
                <w:sz w:val="24"/>
                <w:szCs w:val="24"/>
              </w:rPr>
              <w:t>1</w:t>
            </w:r>
            <w:r w:rsidR="00866FD0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866099D" w14:textId="56275367" w:rsidR="00F176D3" w:rsidRPr="006C625E" w:rsidRDefault="005C6A94" w:rsidP="009C28E1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cs="Arial"/>
                <w:szCs w:val="24"/>
              </w:rPr>
            </w:pPr>
            <w:r w:rsidRPr="006C625E">
              <w:rPr>
                <w:szCs w:val="24"/>
              </w:rPr>
              <w:t>To interview suspects under caution, in accordance with the Police and Criminal Evidence Act 1984 and internal departmental procedures.</w:t>
            </w:r>
          </w:p>
        </w:tc>
      </w:tr>
      <w:tr w:rsidR="00866FD0" w:rsidRPr="00F176D3" w14:paraId="136B415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869036B" w14:textId="75E33C82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 w:rsidR="005A1207">
              <w:rPr>
                <w:rFonts w:ascii="Arial" w:hAnsi="Arial" w:cs="Arial"/>
                <w:sz w:val="24"/>
                <w:szCs w:val="24"/>
              </w:rPr>
              <w:t>2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AAE1C11" w14:textId="0ECA953E" w:rsidR="00AE3538" w:rsidRDefault="005C6A94" w:rsidP="009C28E1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 w:rsidRPr="006C625E">
              <w:rPr>
                <w:szCs w:val="24"/>
              </w:rPr>
              <w:t xml:space="preserve">To recommend initiating prosecutions and imposing civil penalties once it has been established that both the evidential and the public interest tests have been met. </w:t>
            </w:r>
          </w:p>
          <w:p w14:paraId="6FB52577" w14:textId="732E8867" w:rsidR="006C625E" w:rsidRPr="006C625E" w:rsidRDefault="006C625E" w:rsidP="009C28E1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Arial"/>
                <w:szCs w:val="24"/>
              </w:rPr>
            </w:pPr>
          </w:p>
        </w:tc>
      </w:tr>
      <w:tr w:rsidR="00866FD0" w:rsidRPr="00F176D3" w14:paraId="5D15517D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232936E" w14:textId="70895585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 w:rsidR="00611D18">
              <w:rPr>
                <w:rFonts w:ascii="Arial" w:hAnsi="Arial" w:cs="Arial"/>
                <w:sz w:val="24"/>
                <w:szCs w:val="24"/>
              </w:rPr>
              <w:t>3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94EBF7F" w14:textId="3E3517A5" w:rsidR="00866FD0" w:rsidRPr="006C625E" w:rsidRDefault="005C6A94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szCs w:val="24"/>
              </w:rPr>
            </w:pPr>
            <w:r w:rsidRPr="006C625E">
              <w:rPr>
                <w:szCs w:val="24"/>
              </w:rPr>
              <w:t>To represent the council at external meetings, events and forums which relate to tenancy and housing law.</w:t>
            </w:r>
          </w:p>
        </w:tc>
      </w:tr>
      <w:tr w:rsidR="00866FD0" w:rsidRPr="00F176D3" w14:paraId="5ADE0A20" w14:textId="77777777" w:rsidTr="00573272">
        <w:trPr>
          <w:trHeight w:val="310"/>
          <w:tblCellSpacing w:w="20" w:type="dxa"/>
        </w:trPr>
        <w:tc>
          <w:tcPr>
            <w:tcW w:w="610" w:type="dxa"/>
          </w:tcPr>
          <w:p w14:paraId="15E4070C" w14:textId="03E3345C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 w:rsidR="00611D18">
              <w:rPr>
                <w:rFonts w:ascii="Arial" w:hAnsi="Arial" w:cs="Arial"/>
                <w:sz w:val="24"/>
                <w:szCs w:val="24"/>
              </w:rPr>
              <w:t>4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67EF1AA5" w14:textId="3E57AA41" w:rsidR="00866FD0" w:rsidRPr="006C625E" w:rsidRDefault="005C6A94" w:rsidP="009C28E1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rFonts w:cs="Arial"/>
                <w:szCs w:val="24"/>
              </w:rPr>
            </w:pPr>
            <w:r w:rsidRPr="006C625E">
              <w:rPr>
                <w:szCs w:val="24"/>
              </w:rPr>
              <w:t>To prepare case files for civil penalties, and draft associated notices, such as Notices of Intent and Final Notices.</w:t>
            </w:r>
          </w:p>
        </w:tc>
      </w:tr>
      <w:tr w:rsidR="00B54A5E" w:rsidRPr="00F176D3" w14:paraId="7429C444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33753D5" w14:textId="7A65790F" w:rsidR="00B54A5E" w:rsidRPr="00F176D3" w:rsidRDefault="00B54A5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 w:rsidR="00611D18">
              <w:rPr>
                <w:rFonts w:ascii="Arial" w:hAnsi="Arial" w:cs="Arial"/>
                <w:sz w:val="24"/>
                <w:szCs w:val="24"/>
              </w:rPr>
              <w:t>5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C97BC90" w14:textId="497D3F4E" w:rsidR="00B54A5E" w:rsidRPr="006C625E" w:rsidRDefault="005C6A94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szCs w:val="24"/>
              </w:rPr>
            </w:pPr>
            <w:r w:rsidRPr="006C625E">
              <w:rPr>
                <w:szCs w:val="24"/>
              </w:rPr>
              <w:t>To prepare cases for prosecution in both the Magistrates’ and Crown Courts. To represent the Council as a witness in court.</w:t>
            </w:r>
          </w:p>
        </w:tc>
      </w:tr>
      <w:tr w:rsidR="00090CAB" w:rsidRPr="00F176D3" w14:paraId="7C15C822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CB6D540" w14:textId="7B83F996" w:rsidR="00090CAB" w:rsidRPr="00F176D3" w:rsidRDefault="00090CA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11D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6D1FE80A" w14:textId="44A15519" w:rsidR="00090CAB" w:rsidRPr="006C625E" w:rsidRDefault="005C6A94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szCs w:val="24"/>
              </w:rPr>
            </w:pPr>
            <w:r w:rsidRPr="006C625E">
              <w:rPr>
                <w:szCs w:val="24"/>
              </w:rPr>
              <w:t xml:space="preserve">To prepare cases for appeal at the First-tier Tribunal and other courts, including the preparation of statements of case and appeal bundles. To represent the council as a witness at tribunals. </w:t>
            </w:r>
          </w:p>
        </w:tc>
      </w:tr>
      <w:tr w:rsidR="00090CAB" w:rsidRPr="00F176D3" w14:paraId="5D64EB5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09CA233" w14:textId="68DA112B" w:rsidR="00090CAB" w:rsidRPr="00F176D3" w:rsidRDefault="00090CA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611D18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40776C9" w14:textId="48DB8AC4" w:rsidR="00090CAB" w:rsidRPr="006C625E" w:rsidRDefault="005C6A94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szCs w:val="24"/>
              </w:rPr>
            </w:pPr>
            <w:r w:rsidRPr="006C625E">
              <w:rPr>
                <w:szCs w:val="24"/>
              </w:rPr>
              <w:t>To assist in responding to freedom of information, subject access and environmental information requests, in accordance with corporate procedures</w:t>
            </w:r>
          </w:p>
        </w:tc>
      </w:tr>
      <w:tr w:rsidR="00090CAB" w:rsidRPr="00F176D3" w14:paraId="612399D6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AD8BA46" w14:textId="52E10C2E" w:rsidR="00090CAB" w:rsidRPr="00F176D3" w:rsidRDefault="00090CA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11D18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276ECFB8" w14:textId="7524F1BE" w:rsidR="00090CAB" w:rsidRPr="00090CAB" w:rsidRDefault="006C625E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To provide and keep up to date the council’s webpages in relation to tenancy related matters.</w:t>
            </w:r>
          </w:p>
        </w:tc>
      </w:tr>
      <w:tr w:rsidR="00090CAB" w:rsidRPr="00F176D3" w14:paraId="0C3FD2D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2E91F6F" w14:textId="1AF6C729" w:rsidR="00090CAB" w:rsidRDefault="00611D1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090C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B33C117" w14:textId="77777777" w:rsidR="00090CAB" w:rsidRDefault="006C625E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 w:rsidRPr="006C625E">
              <w:rPr>
                <w:szCs w:val="24"/>
              </w:rPr>
              <w:t>To maintain specialist and up to date interest and knowledge in all technical and legal elements to the work area and the fulfilment of a personal CPD programme.</w:t>
            </w:r>
          </w:p>
          <w:p w14:paraId="3467C6BB" w14:textId="00AA992A" w:rsidR="005A1207" w:rsidRPr="00090CAB" w:rsidRDefault="005A1207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</w:p>
        </w:tc>
      </w:tr>
      <w:tr w:rsidR="004D1C4D" w:rsidRPr="00F176D3" w14:paraId="02AEE515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4AEE2C3" w14:textId="08E5C215" w:rsidR="004D1C4D" w:rsidRDefault="004D1C4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8266" w:type="dxa"/>
          </w:tcPr>
          <w:p w14:paraId="35F31EE5" w14:textId="3298FFC0" w:rsidR="004D1C4D" w:rsidRDefault="004D1C4D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Build and maintain relationships with external organisations, including legal advisors, housing charities and local support groups.</w:t>
            </w:r>
          </w:p>
          <w:p w14:paraId="243E3CCA" w14:textId="16040112" w:rsidR="004D1C4D" w:rsidRPr="006C625E" w:rsidRDefault="004D1C4D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</w:p>
        </w:tc>
      </w:tr>
      <w:tr w:rsidR="00A3323D" w:rsidRPr="00F176D3" w14:paraId="1B905C24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3C09D80" w14:textId="7BA85321" w:rsidR="00A3323D" w:rsidRDefault="00A3323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21. </w:t>
            </w:r>
          </w:p>
        </w:tc>
        <w:tc>
          <w:tcPr>
            <w:tcW w:w="8266" w:type="dxa"/>
          </w:tcPr>
          <w:p w14:paraId="2F66F34B" w14:textId="29D8CC6D" w:rsidR="00A3323D" w:rsidRDefault="00A3323D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To monitor the government’s landlord database to ensure local landlords are registered correctly and certificates submitted are in date,</w:t>
            </w:r>
          </w:p>
        </w:tc>
      </w:tr>
      <w:tr w:rsidR="00A3323D" w:rsidRPr="00F176D3" w14:paraId="462B3A02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06B0D842" w14:textId="7B7C3456" w:rsidR="00A3323D" w:rsidRDefault="00A3323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8266" w:type="dxa"/>
          </w:tcPr>
          <w:p w14:paraId="496516DF" w14:textId="7804C852" w:rsidR="00A3323D" w:rsidRDefault="00A3323D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Take enforcement action where landlords are found to not be registered on the landlord database.</w:t>
            </w:r>
          </w:p>
        </w:tc>
      </w:tr>
      <w:tr w:rsidR="00A3323D" w:rsidRPr="00F176D3" w14:paraId="15B22B8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7E21CC1" w14:textId="66EA8068" w:rsidR="00A3323D" w:rsidRDefault="00A3323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8266" w:type="dxa"/>
          </w:tcPr>
          <w:p w14:paraId="68761936" w14:textId="38E07264" w:rsidR="00A3323D" w:rsidRDefault="00A3323D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Educate and inform landlords of their responsibilities to register on the landlord database.</w:t>
            </w:r>
          </w:p>
        </w:tc>
      </w:tr>
      <w:tr w:rsidR="00A3323D" w:rsidRPr="00F176D3" w14:paraId="76E9557A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21B6831" w14:textId="194D6B7C" w:rsidR="00A3323D" w:rsidRDefault="00A3323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8266" w:type="dxa"/>
          </w:tcPr>
          <w:p w14:paraId="4078D753" w14:textId="76B19B89" w:rsidR="00A3323D" w:rsidRDefault="00A3323D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To monitor the government directed landlord ombudsman scheme (s) to ensure that landlords are registered with one the schemes.</w:t>
            </w:r>
          </w:p>
        </w:tc>
      </w:tr>
      <w:tr w:rsidR="00A3323D" w:rsidRPr="00F176D3" w14:paraId="631F9CC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A4AAA88" w14:textId="3216B574" w:rsidR="00A3323D" w:rsidRDefault="00A3323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8266" w:type="dxa"/>
          </w:tcPr>
          <w:p w14:paraId="1D7D1872" w14:textId="57026AB8" w:rsidR="00A3323D" w:rsidRDefault="00A3323D" w:rsidP="00AE3538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Take enforcement action where landlords are found to not be registered with a landlord ombudsman.</w:t>
            </w:r>
          </w:p>
        </w:tc>
      </w:tr>
      <w:tr w:rsidR="00997541" w:rsidRPr="00F176D3" w14:paraId="7B2323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BCF261C" w14:textId="12C50218" w:rsidR="00997541" w:rsidRPr="00F176D3" w:rsidRDefault="005A1207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323D">
              <w:rPr>
                <w:rFonts w:ascii="Arial" w:hAnsi="Arial" w:cs="Arial"/>
                <w:sz w:val="24"/>
                <w:szCs w:val="24"/>
              </w:rPr>
              <w:t>6</w:t>
            </w:r>
            <w:r w:rsidR="00997541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FEB00EC" w14:textId="6F206E51" w:rsidR="00997541" w:rsidRDefault="00235BA3" w:rsidP="005A120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235BA3">
              <w:rPr>
                <w:rFonts w:cs="Arial"/>
                <w:szCs w:val="24"/>
              </w:rPr>
              <w:t>To carry out investigations into defective housing conditions and produce reports of conditions found, write letters, serve enforcement notices and initiate legal action as appropriat</w:t>
            </w:r>
            <w:r w:rsidR="00EE0FC6">
              <w:rPr>
                <w:rFonts w:cs="Arial"/>
                <w:szCs w:val="24"/>
              </w:rPr>
              <w:t>e, in line with the Housing Act 2004 and associated housing legislation.</w:t>
            </w:r>
          </w:p>
          <w:p w14:paraId="54F5F775" w14:textId="113B4A6D" w:rsidR="005A1207" w:rsidRPr="00A524FE" w:rsidRDefault="005A1207" w:rsidP="005A120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</w:tc>
      </w:tr>
      <w:tr w:rsidR="00235BA3" w:rsidRPr="00F176D3" w14:paraId="54847FF8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B7C305D" w14:textId="2AEDFFC1" w:rsidR="00235BA3" w:rsidRDefault="005A1207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323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623FB4FA" w14:textId="77777777" w:rsidR="00235BA3" w:rsidRDefault="005A1207" w:rsidP="005A120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5A1207">
              <w:rPr>
                <w:rFonts w:cs="Arial"/>
                <w:szCs w:val="24"/>
              </w:rPr>
              <w:t>To carry out housing surveys as required, using the Housing Health and Safety Rating System.</w:t>
            </w:r>
          </w:p>
          <w:p w14:paraId="16584CBC" w14:textId="36393EFC" w:rsidR="005A1207" w:rsidRPr="00235BA3" w:rsidRDefault="005A1207" w:rsidP="005A120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</w:tc>
      </w:tr>
      <w:tr w:rsidR="005A1207" w:rsidRPr="00F176D3" w14:paraId="7453BDE2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F0D0AB0" w14:textId="077948F6" w:rsidR="005A1207" w:rsidRDefault="005A1207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323D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25FE7FD" w14:textId="1ECCEE50" w:rsidR="005A1207" w:rsidRPr="005A1207" w:rsidRDefault="005A1207" w:rsidP="005A120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5A1207">
              <w:rPr>
                <w:rFonts w:cs="Arial"/>
                <w:szCs w:val="24"/>
              </w:rPr>
              <w:t>To advise and liaise with landlords/owners and tenants on the appropriate standards of housing and private sector housing management.</w:t>
            </w:r>
          </w:p>
        </w:tc>
      </w:tr>
    </w:tbl>
    <w:p w14:paraId="5FDA824C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50B66DB8" w14:textId="15512F97" w:rsidR="00043EFA" w:rsidRPr="00D23CC6" w:rsidRDefault="00043EFA" w:rsidP="00856869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D23CC6">
        <w:rPr>
          <w:rFonts w:ascii="Arial" w:hAnsi="Arial" w:cs="Arial"/>
          <w:b/>
          <w:bCs/>
          <w:color w:val="FF0000"/>
          <w:sz w:val="24"/>
          <w:szCs w:val="24"/>
        </w:rPr>
        <w:t>Additional information (not contractual)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043EFA" w:rsidRPr="00F176D3" w14:paraId="3940B650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6169A25" w14:textId="1F24179C" w:rsidR="00043EFA" w:rsidRPr="00F176D3" w:rsidRDefault="00090CAB" w:rsidP="009A7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43EFA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646BFF79" w14:textId="13C1931E" w:rsidR="00043EFA" w:rsidRDefault="00043EFA" w:rsidP="00043E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Service delivery</w:t>
            </w:r>
            <w:r w:rsidR="00090CAB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;</w:t>
            </w:r>
          </w:p>
          <w:p w14:paraId="179DABFD" w14:textId="77777777" w:rsidR="00043EFA" w:rsidRPr="00043EFA" w:rsidRDefault="00043EFA" w:rsidP="00043EF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  <w:p w14:paraId="6779FEB7" w14:textId="16DBD484" w:rsidR="00043EFA" w:rsidRDefault="00043EFA" w:rsidP="00043EF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The postholder is expected to contribute to the improvement of service delivery standards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.</w:t>
            </w:r>
          </w:p>
          <w:p w14:paraId="1C245795" w14:textId="18473651" w:rsidR="00043EFA" w:rsidRPr="00F176D3" w:rsidRDefault="00043EFA" w:rsidP="00043EFA">
            <w:pPr>
              <w:spacing w:after="0" w:line="240" w:lineRule="auto"/>
              <w:contextualSpacing/>
              <w:rPr>
                <w:rFonts w:cs="Arial"/>
                <w:szCs w:val="24"/>
              </w:rPr>
            </w:pPr>
          </w:p>
        </w:tc>
      </w:tr>
    </w:tbl>
    <w:p w14:paraId="460743B4" w14:textId="77777777" w:rsidR="00043EFA" w:rsidRPr="00F176D3" w:rsidRDefault="00043EFA" w:rsidP="00856869">
      <w:pPr>
        <w:rPr>
          <w:rFonts w:ascii="Arial" w:hAnsi="Arial" w:cs="Arial"/>
          <w:sz w:val="24"/>
          <w:szCs w:val="24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1AB8DF38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 xml:space="preserve">will be shortlisted and interviewed to </w:t>
      </w:r>
      <w:r w:rsidR="001F4160">
        <w:rPr>
          <w:rFonts w:ascii="Arial" w:hAnsi="Arial" w:cs="Arial"/>
          <w:sz w:val="24"/>
          <w:szCs w:val="24"/>
        </w:rPr>
        <w:t>assess</w:t>
      </w:r>
      <w:r w:rsidR="008F2AE3">
        <w:rPr>
          <w:rFonts w:ascii="Arial" w:hAnsi="Arial" w:cs="Arial"/>
          <w:sz w:val="24"/>
          <w:szCs w:val="24"/>
        </w:rPr>
        <w:t xml:space="preserve">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0E87902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E87902" w:rsidRPr="00F176D3" w14:paraId="6DF3610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6C700850" w14:textId="77777777" w:rsidR="00E87902" w:rsidRDefault="005A1207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Level 4 or above qualification in a relevant subject area, such as housing, regulatory compliance, law of environmental health</w:t>
            </w:r>
          </w:p>
          <w:p w14:paraId="75E28BBD" w14:textId="438AB5D5" w:rsidR="00134037" w:rsidRPr="00D84031" w:rsidRDefault="00134037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Note: A level 4 qualification is a specialised higher education level equivalent to a 1</w:t>
            </w:r>
            <w:r w:rsidRPr="00134037">
              <w:rPr>
                <w:rFonts w:ascii="Arial" w:hAnsi="Arial" w:cs="Arial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Cs w:val="24"/>
              </w:rPr>
              <w:t xml:space="preserve"> year of a bachelor’s degree, a Higher National Certificate (HNC) or a Level 4 NVQ.</w:t>
            </w:r>
          </w:p>
        </w:tc>
        <w:tc>
          <w:tcPr>
            <w:tcW w:w="1661" w:type="dxa"/>
          </w:tcPr>
          <w:p w14:paraId="0F17B8B1" w14:textId="1160AE2E" w:rsidR="00E87902" w:rsidRPr="00F176D3" w:rsidRDefault="005A120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C15087D" w14:textId="77777777" w:rsidR="00E87902" w:rsidRPr="00F176D3" w:rsidRDefault="00E87902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59665B37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1F4160" w:rsidRDefault="00286160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E87520" w:rsidRPr="00F176D3" w14:paraId="4E900C7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C628EB" w14:textId="14A8B491" w:rsidR="00E87520" w:rsidRPr="00D84031" w:rsidRDefault="005A1207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A1207">
              <w:rPr>
                <w:rFonts w:ascii="Arial" w:hAnsi="Arial" w:cs="Arial"/>
                <w:sz w:val="24"/>
                <w:szCs w:val="24"/>
              </w:rPr>
              <w:t>Relevant experience in the field of private sector housing, in particular experience of dealing with residential tenancies and licences.</w:t>
            </w:r>
          </w:p>
        </w:tc>
        <w:tc>
          <w:tcPr>
            <w:tcW w:w="1661" w:type="dxa"/>
          </w:tcPr>
          <w:p w14:paraId="3B1C9457" w14:textId="3EB9135A" w:rsidR="00E87520" w:rsidRPr="00F176D3" w:rsidRDefault="00E87EA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273A6B2" w14:textId="2786E7ED" w:rsidR="00E87520" w:rsidRPr="00F176D3" w:rsidRDefault="00E87520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00D2900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D10ECB8" w14:textId="19BCCB05" w:rsidR="00E87520" w:rsidRPr="00D84031" w:rsidRDefault="005A1207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5A1207">
              <w:rPr>
                <w:rFonts w:ascii="Arial" w:hAnsi="Arial" w:cs="Arial"/>
                <w:sz w:val="24"/>
                <w:szCs w:val="24"/>
              </w:rPr>
              <w:t>Experience of dealing with difficult situations and conflict management.</w:t>
            </w:r>
          </w:p>
        </w:tc>
        <w:tc>
          <w:tcPr>
            <w:tcW w:w="1661" w:type="dxa"/>
          </w:tcPr>
          <w:p w14:paraId="1D562324" w14:textId="363F8AB5" w:rsidR="00E87520" w:rsidRPr="00F176D3" w:rsidRDefault="00E87EA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C8EDCD2" w14:textId="77777777" w:rsidR="00E87520" w:rsidRPr="00F176D3" w:rsidRDefault="00E87520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198DACD" w14:textId="77777777" w:rsidTr="005A1207">
        <w:trPr>
          <w:trHeight w:val="718"/>
          <w:tblCellSpacing w:w="20" w:type="dxa"/>
        </w:trPr>
        <w:tc>
          <w:tcPr>
            <w:tcW w:w="5595" w:type="dxa"/>
          </w:tcPr>
          <w:p w14:paraId="5FD886A5" w14:textId="5744C40E" w:rsidR="00D75FDE" w:rsidRPr="00D84031" w:rsidRDefault="005A1207" w:rsidP="009C28E1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A1207">
              <w:rPr>
                <w:rFonts w:ascii="Arial" w:hAnsi="Arial" w:cs="Arial"/>
                <w:szCs w:val="24"/>
              </w:rPr>
              <w:t>Experience of drafting formal documents and statutory notices.</w:t>
            </w:r>
          </w:p>
        </w:tc>
        <w:tc>
          <w:tcPr>
            <w:tcW w:w="1661" w:type="dxa"/>
          </w:tcPr>
          <w:p w14:paraId="10B262C1" w14:textId="1426F988" w:rsidR="00D75FDE" w:rsidRPr="00F176D3" w:rsidRDefault="00E87EA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6832E6D" w14:textId="77777777" w:rsidR="00D75FDE" w:rsidRPr="00F176D3" w:rsidRDefault="00D75FDE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3B4038B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00E9DBA" w14:textId="7A1156D9" w:rsidR="00D75FDE" w:rsidRPr="00D84031" w:rsidRDefault="005A1207" w:rsidP="009C28E1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A1207">
              <w:rPr>
                <w:rFonts w:ascii="Arial" w:hAnsi="Arial" w:cs="Arial"/>
                <w:szCs w:val="24"/>
              </w:rPr>
              <w:t>Experience in undertaking investigations and determining appropriate follow up actions, including cases leading to instigation of legal proceedings</w:t>
            </w:r>
          </w:p>
        </w:tc>
        <w:tc>
          <w:tcPr>
            <w:tcW w:w="1661" w:type="dxa"/>
          </w:tcPr>
          <w:p w14:paraId="3BC5A556" w14:textId="58B43375" w:rsidR="00D75FDE" w:rsidRPr="00F176D3" w:rsidRDefault="00E87EA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864B9FF" w14:textId="77777777" w:rsidR="00D75FDE" w:rsidRPr="00F176D3" w:rsidRDefault="00D75FDE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57" w:rsidRPr="00F176D3" w14:paraId="3FA0EF1C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C18C113" w14:textId="7656B0B7" w:rsidR="00634A57" w:rsidRPr="00634A57" w:rsidRDefault="005A1207" w:rsidP="009C28E1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Partnership working</w:t>
            </w:r>
          </w:p>
        </w:tc>
        <w:tc>
          <w:tcPr>
            <w:tcW w:w="1661" w:type="dxa"/>
          </w:tcPr>
          <w:p w14:paraId="4CB3BF42" w14:textId="77777777" w:rsidR="00634A57" w:rsidRDefault="00634A5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6BD1A26" w14:textId="1BA3099B" w:rsidR="00634A57" w:rsidRPr="00F176D3" w:rsidRDefault="00E87EA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7D93893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E87520" w:rsidRPr="00F176D3" w14:paraId="79D24EDE" w14:textId="77777777" w:rsidTr="00611D18">
        <w:trPr>
          <w:trHeight w:val="702"/>
          <w:tblCellSpacing w:w="20" w:type="dxa"/>
        </w:trPr>
        <w:tc>
          <w:tcPr>
            <w:tcW w:w="5595" w:type="dxa"/>
          </w:tcPr>
          <w:p w14:paraId="2004AE79" w14:textId="507F17C0" w:rsidR="00E87520" w:rsidRPr="00634A57" w:rsidRDefault="005A1207" w:rsidP="009C28E1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Knowledge of legislation, guidance and case law relating to residential tenancies and licences</w:t>
            </w:r>
          </w:p>
        </w:tc>
        <w:tc>
          <w:tcPr>
            <w:tcW w:w="1661" w:type="dxa"/>
          </w:tcPr>
          <w:p w14:paraId="6EA60C2E" w14:textId="36BF0CCC" w:rsidR="00E87520" w:rsidRPr="00F176D3" w:rsidRDefault="005A120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32E31B3" w14:textId="77777777" w:rsidR="00E87520" w:rsidRPr="00F176D3" w:rsidRDefault="00E87520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4B5A3A44" w14:textId="77777777" w:rsidTr="00E87EA7">
        <w:trPr>
          <w:trHeight w:val="701"/>
          <w:tblCellSpacing w:w="20" w:type="dxa"/>
        </w:trPr>
        <w:tc>
          <w:tcPr>
            <w:tcW w:w="5595" w:type="dxa"/>
          </w:tcPr>
          <w:p w14:paraId="142896E2" w14:textId="636DE044" w:rsidR="00E87520" w:rsidRPr="00634A57" w:rsidRDefault="005A1207" w:rsidP="009C28E1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Knowledge of legislation, guidance and case law relating to private sector housing more generally.</w:t>
            </w:r>
          </w:p>
        </w:tc>
        <w:tc>
          <w:tcPr>
            <w:tcW w:w="1661" w:type="dxa"/>
          </w:tcPr>
          <w:p w14:paraId="743115DE" w14:textId="1F76FD64" w:rsidR="00E87520" w:rsidRPr="00F176D3" w:rsidRDefault="00E87EA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A20E794" w14:textId="77777777" w:rsidR="00E87520" w:rsidRPr="00F176D3" w:rsidRDefault="00E87520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E650691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7A1173" w14:textId="72C12B5F" w:rsidR="00E87520" w:rsidRPr="00634A57" w:rsidRDefault="005A1207" w:rsidP="009C28E1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Knowledge of criminal investigations and procedures</w:t>
            </w:r>
          </w:p>
        </w:tc>
        <w:tc>
          <w:tcPr>
            <w:tcW w:w="1661" w:type="dxa"/>
          </w:tcPr>
          <w:p w14:paraId="68FC654E" w14:textId="3A3F0BA9" w:rsidR="00E87520" w:rsidRPr="00F176D3" w:rsidRDefault="00E87EA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5C75D31" w14:textId="77777777" w:rsidR="00E87520" w:rsidRPr="00F176D3" w:rsidRDefault="00E87520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27D7963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4B9C789" w14:textId="57E24465" w:rsidR="00E87520" w:rsidRPr="00634A57" w:rsidRDefault="000A7C4A" w:rsidP="009C28E1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Competent in the use of the Housing Health and Safety Rating System</w:t>
            </w:r>
          </w:p>
        </w:tc>
        <w:tc>
          <w:tcPr>
            <w:tcW w:w="1661" w:type="dxa"/>
          </w:tcPr>
          <w:p w14:paraId="2628AAF6" w14:textId="1FAF1AC7" w:rsidR="00E87520" w:rsidRPr="00F176D3" w:rsidRDefault="00E87EA7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1337131" w14:textId="77777777" w:rsidR="00E87520" w:rsidRPr="00F176D3" w:rsidRDefault="00E87520" w:rsidP="00634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77605B1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2C3EE794" w:rsidR="00D75FDE" w:rsidRPr="00286160" w:rsidRDefault="00D45075" w:rsidP="00856869"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E30CF4">
              <w:rPr>
                <w:rFonts w:ascii="Arial" w:hAnsi="Arial" w:cs="Arial"/>
                <w:b/>
                <w:bCs/>
                <w:sz w:val="24"/>
                <w:szCs w:val="24"/>
              </w:rPr>
              <w:t>ehaviours</w:t>
            </w:r>
          </w:p>
        </w:tc>
      </w:tr>
      <w:tr w:rsidR="00D45075" w:rsidRPr="00F176D3" w14:paraId="5E4CF91B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30477175" w14:textId="2A2C0E00" w:rsidR="00D45075" w:rsidRPr="00F176D3" w:rsidRDefault="0083630F" w:rsidP="0097591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Cs w:val="24"/>
              </w:rPr>
              <w:t>Adaptability: Ability to remain flexible and resilient when encountering new or different circumstances, and identifying solutions</w:t>
            </w:r>
          </w:p>
        </w:tc>
        <w:tc>
          <w:tcPr>
            <w:tcW w:w="1661" w:type="dxa"/>
          </w:tcPr>
          <w:p w14:paraId="3FD8709E" w14:textId="77777777" w:rsidR="00D45075" w:rsidRPr="00F176D3" w:rsidRDefault="00D45075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D653271" w14:textId="77777777" w:rsidR="00D45075" w:rsidRPr="00F176D3" w:rsidRDefault="00D45075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F176D3" w14:paraId="6E1ECADE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49FD7BEA" w14:textId="2C5EE03C" w:rsidR="00D45075" w:rsidRPr="00F176D3" w:rsidRDefault="00361E2A" w:rsidP="0097591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361E2A">
              <w:rPr>
                <w:rFonts w:ascii="Arial" w:hAnsi="Arial" w:cs="Arial"/>
                <w:szCs w:val="24"/>
              </w:rPr>
              <w:lastRenderedPageBreak/>
              <w:t>Consistency: Maintains standards, behaviours and fair decision making at work, correlating actions to opinions.</w:t>
            </w:r>
          </w:p>
        </w:tc>
        <w:tc>
          <w:tcPr>
            <w:tcW w:w="1661" w:type="dxa"/>
          </w:tcPr>
          <w:p w14:paraId="1C87AA8F" w14:textId="77777777" w:rsidR="00D45075" w:rsidRPr="00F176D3" w:rsidRDefault="00D45075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BA6EEAB" w14:textId="77777777" w:rsidR="00D45075" w:rsidRPr="00F176D3" w:rsidRDefault="00D45075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F176D3" w14:paraId="21282AC6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2E59A20F" w14:textId="135DDD5F" w:rsidR="00D45075" w:rsidRPr="00F176D3" w:rsidRDefault="00361E2A" w:rsidP="0097591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Innovative: Uses initiative, contributes to and implements new progressive processes or projects that will improve service delivery.</w:t>
            </w:r>
          </w:p>
        </w:tc>
        <w:tc>
          <w:tcPr>
            <w:tcW w:w="1661" w:type="dxa"/>
          </w:tcPr>
          <w:p w14:paraId="3FAAD338" w14:textId="77777777" w:rsidR="00D45075" w:rsidRPr="00F176D3" w:rsidRDefault="00D45075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775E6E9" w14:textId="77777777" w:rsidR="00D45075" w:rsidRPr="00F176D3" w:rsidRDefault="00D45075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F176D3" w14:paraId="210276E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3B92662" w14:textId="6F5964BC" w:rsidR="00D45075" w:rsidRDefault="00D45075" w:rsidP="00361E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E87520" w:rsidRPr="00F176D3" w14:paraId="5519BE28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93FC11" w14:textId="3CA99D2C" w:rsidR="00D45075" w:rsidRPr="00361E2A" w:rsidRDefault="00361E2A" w:rsidP="00D45075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361E2A">
              <w:rPr>
                <w:rFonts w:ascii="Arial" w:hAnsi="Arial" w:cs="Arial"/>
                <w:szCs w:val="24"/>
              </w:rPr>
              <w:t>Collaborative Working: Pulls the team together, can work in collaboration internally/externally to achieve an end result</w:t>
            </w:r>
          </w:p>
        </w:tc>
        <w:tc>
          <w:tcPr>
            <w:tcW w:w="1661" w:type="dxa"/>
          </w:tcPr>
          <w:p w14:paraId="3639E953" w14:textId="446BEAFD" w:rsidR="00E87520" w:rsidRPr="00F176D3" w:rsidRDefault="00D45075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6B8E420" w14:textId="77777777" w:rsidR="00E87520" w:rsidRPr="00F176D3" w:rsidRDefault="00E87520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A" w:rsidRPr="00F176D3" w14:paraId="31CD2137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26C1C4A" w14:textId="2B2B360F" w:rsidR="00361E2A" w:rsidRPr="00361E2A" w:rsidRDefault="00361E2A" w:rsidP="00D45075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361E2A">
              <w:rPr>
                <w:rFonts w:ascii="Arial" w:hAnsi="Arial" w:cs="Arial"/>
                <w:szCs w:val="24"/>
              </w:rPr>
              <w:t>Communication (written/oral): Able to communicate (sometimes contentious matters) clearly, appropriately and respectfully at all levels.</w:t>
            </w:r>
          </w:p>
        </w:tc>
        <w:tc>
          <w:tcPr>
            <w:tcW w:w="1661" w:type="dxa"/>
          </w:tcPr>
          <w:p w14:paraId="28860D97" w14:textId="6D695700" w:rsidR="00361E2A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9C41101" w14:textId="77777777" w:rsidR="00361E2A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A" w:rsidRPr="00F176D3" w14:paraId="2173F73F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DABD880" w14:textId="2350BB91" w:rsidR="00361E2A" w:rsidRPr="00361E2A" w:rsidRDefault="00361E2A" w:rsidP="00D45075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361E2A">
              <w:rPr>
                <w:rFonts w:ascii="Arial" w:hAnsi="Arial" w:cs="Arial"/>
                <w:szCs w:val="24"/>
              </w:rPr>
              <w:t>Critical Thinking; Able to consider different perspectives, and Council needs and procedures in balance when making decisions and solving problems.</w:t>
            </w:r>
          </w:p>
        </w:tc>
        <w:tc>
          <w:tcPr>
            <w:tcW w:w="1661" w:type="dxa"/>
          </w:tcPr>
          <w:p w14:paraId="049D7E3F" w14:textId="3AEE9225" w:rsidR="00361E2A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900DEE6" w14:textId="77777777" w:rsidR="00361E2A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CBBA78C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6BC4DDF" w14:textId="6D7E8029" w:rsidR="00D75FDE" w:rsidRPr="00F176D3" w:rsidRDefault="00361E2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361E2A">
              <w:rPr>
                <w:rFonts w:ascii="Arial" w:hAnsi="Arial" w:cs="Arial"/>
                <w:szCs w:val="24"/>
              </w:rPr>
              <w:t>Decision making; Encourages and coaches staff to make decisions in order to meet customer service delivery expectations</w:t>
            </w:r>
          </w:p>
        </w:tc>
        <w:tc>
          <w:tcPr>
            <w:tcW w:w="1661" w:type="dxa"/>
          </w:tcPr>
          <w:p w14:paraId="210428F3" w14:textId="7B22BE2E" w:rsidR="00D75FDE" w:rsidRPr="00F176D3" w:rsidRDefault="00D45075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7A3A9F3" w14:textId="77777777" w:rsidR="00D75FDE" w:rsidRPr="00F176D3" w:rsidRDefault="00D75FDE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2F1C48E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44B306" w14:textId="49F99F31" w:rsidR="00D75FDE" w:rsidRPr="00F176D3" w:rsidRDefault="00361E2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361E2A">
              <w:rPr>
                <w:rFonts w:ascii="Arial" w:hAnsi="Arial" w:cs="Arial"/>
                <w:szCs w:val="24"/>
              </w:rPr>
              <w:t>Industry knowledge; Actively seeks out best practice and CPD to understand current issues related to the department, sector and profession to make informed decisions.</w:t>
            </w:r>
          </w:p>
        </w:tc>
        <w:tc>
          <w:tcPr>
            <w:tcW w:w="1661" w:type="dxa"/>
          </w:tcPr>
          <w:p w14:paraId="5494CC6A" w14:textId="7EE6D57B" w:rsidR="00D75FDE" w:rsidRPr="00F176D3" w:rsidRDefault="00D45075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B72D32D" w14:textId="77777777" w:rsidR="00D75FDE" w:rsidRPr="00F176D3" w:rsidRDefault="00D75FDE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52C9E30F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6B26955F" w14:textId="172B12BA" w:rsidR="00D75FDE" w:rsidRPr="00361E2A" w:rsidRDefault="00361E2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361E2A">
              <w:rPr>
                <w:rFonts w:ascii="Arial" w:hAnsi="Arial" w:cs="Arial"/>
                <w:szCs w:val="24"/>
              </w:rPr>
              <w:t>Initiative; Is resourceful and able to work and make decisions with limited supervision.</w:t>
            </w:r>
          </w:p>
        </w:tc>
        <w:tc>
          <w:tcPr>
            <w:tcW w:w="1661" w:type="dxa"/>
          </w:tcPr>
          <w:p w14:paraId="423D3F38" w14:textId="2B1DB8C3" w:rsidR="00D75FDE" w:rsidRPr="00F176D3" w:rsidRDefault="007A7F7E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2AF1BCA" w14:textId="77777777" w:rsidR="00D75FDE" w:rsidRPr="00F176D3" w:rsidRDefault="00D75FDE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EFA" w:rsidRPr="00F176D3" w14:paraId="7085565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AAF8BCE" w14:textId="70DCB149" w:rsidR="00043EFA" w:rsidRPr="00361E2A" w:rsidRDefault="00361E2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361E2A">
              <w:rPr>
                <w:rFonts w:ascii="Arial" w:hAnsi="Arial" w:cs="Arial"/>
                <w:szCs w:val="24"/>
              </w:rPr>
              <w:t>Organisational skills; Understands work of the wider team and feeds into supporting this alongside own work, making the best use of available resources.</w:t>
            </w:r>
          </w:p>
        </w:tc>
        <w:tc>
          <w:tcPr>
            <w:tcW w:w="1661" w:type="dxa"/>
          </w:tcPr>
          <w:p w14:paraId="2B933534" w14:textId="2E45D9BF" w:rsidR="00043EFA" w:rsidRPr="00F176D3" w:rsidRDefault="007A7F7E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96CDDC9" w14:textId="77777777" w:rsidR="00043EFA" w:rsidRPr="00F176D3" w:rsidRDefault="00043EF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EFA" w:rsidRPr="00F176D3" w14:paraId="324F235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63EAACEF" w14:textId="4B76A339" w:rsidR="00043EFA" w:rsidRPr="00361E2A" w:rsidRDefault="00361E2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361E2A">
              <w:rPr>
                <w:rFonts w:ascii="Arial" w:hAnsi="Arial" w:cs="Arial"/>
                <w:szCs w:val="24"/>
              </w:rPr>
              <w:t>Problem solving; Able to identify internal/external issues and implement to support objectives.</w:t>
            </w:r>
          </w:p>
        </w:tc>
        <w:tc>
          <w:tcPr>
            <w:tcW w:w="1661" w:type="dxa"/>
          </w:tcPr>
          <w:p w14:paraId="3CF92757" w14:textId="48BF441C" w:rsidR="00043EFA" w:rsidRPr="00F176D3" w:rsidRDefault="007A7F7E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D66F844" w14:textId="77777777" w:rsidR="00043EFA" w:rsidRPr="00F176D3" w:rsidRDefault="00043EF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B9BB7C4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094A068" w:rsidR="00D75FDE" w:rsidRPr="00F176D3" w:rsidRDefault="00456740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E87520" w:rsidRPr="00F176D3" w14:paraId="279C0592" w14:textId="77777777" w:rsidTr="001121D6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E87520" w:rsidRPr="00F176D3" w:rsidRDefault="00E87520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87520" w:rsidRPr="00F176D3" w14:paraId="69770145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6E29E1B" w14:textId="638ED529" w:rsidR="00E87520" w:rsidRPr="001121D6" w:rsidRDefault="001121D6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1121D6">
              <w:rPr>
                <w:rFonts w:ascii="Arial" w:hAnsi="Arial" w:cs="Arial"/>
                <w:color w:val="auto"/>
                <w:szCs w:val="24"/>
              </w:rPr>
              <w:t xml:space="preserve">Does this role require a </w:t>
            </w:r>
            <w:r w:rsidRPr="00361E2A">
              <w:rPr>
                <w:rFonts w:ascii="Arial" w:hAnsi="Arial" w:cs="Arial"/>
                <w:color w:val="auto"/>
                <w:szCs w:val="24"/>
              </w:rPr>
              <w:t>Basic</w:t>
            </w:r>
            <w:r w:rsidRPr="00D15DD1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1121D6">
              <w:rPr>
                <w:rFonts w:ascii="Arial" w:hAnsi="Arial" w:cs="Arial"/>
                <w:color w:val="auto"/>
                <w:szCs w:val="24"/>
              </w:rPr>
              <w:t>DBS check?</w:t>
            </w:r>
          </w:p>
        </w:tc>
        <w:tc>
          <w:tcPr>
            <w:tcW w:w="1661" w:type="dxa"/>
          </w:tcPr>
          <w:p w14:paraId="5ED8267B" w14:textId="79947456" w:rsidR="00E87520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5493120" w14:textId="77777777" w:rsidR="00E87520" w:rsidRPr="00F176D3" w:rsidRDefault="00E87520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A0" w:rsidRPr="00F176D3" w14:paraId="390C45CB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014D545E" w14:textId="2BFB637F" w:rsidR="007B17A0" w:rsidRPr="001121D6" w:rsidRDefault="007B17A0" w:rsidP="00F176D3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</w:t>
            </w:r>
            <w:r w:rsidR="004F4FE4">
              <w:rPr>
                <w:rFonts w:ascii="Arial" w:hAnsi="Arial" w:cs="Arial"/>
                <w:color w:val="auto"/>
                <w:szCs w:val="24"/>
              </w:rPr>
              <w:t xml:space="preserve"> card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payments </w:t>
            </w:r>
            <w:r w:rsidR="004F4FE4">
              <w:rPr>
                <w:rFonts w:ascii="Arial" w:hAnsi="Arial" w:cs="Arial"/>
                <w:color w:val="auto"/>
                <w:szCs w:val="24"/>
              </w:rPr>
              <w:t>via MOTO. (If yes – needs basic DBS).</w:t>
            </w:r>
          </w:p>
        </w:tc>
        <w:tc>
          <w:tcPr>
            <w:tcW w:w="1661" w:type="dxa"/>
          </w:tcPr>
          <w:p w14:paraId="0EAA44DC" w14:textId="77777777" w:rsidR="007B17A0" w:rsidRPr="00F176D3" w:rsidRDefault="007B17A0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2073EE" w14:textId="63CF01E7" w:rsidR="007B17A0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F176D3" w14:paraId="1DEA5D62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D2399A" w14:textId="6D10FBD0" w:rsidR="00E87520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="00A524FE" w:rsidRPr="001121D6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Political</w:t>
            </w:r>
            <w:r w:rsidR="00456740">
              <w:rPr>
                <w:rFonts w:ascii="Arial" w:hAnsi="Arial" w:cs="Arial"/>
                <w:sz w:val="24"/>
                <w:szCs w:val="24"/>
              </w:rPr>
              <w:t>ly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1EF8C4BB" w14:textId="197466E1" w:rsidR="00E87520" w:rsidRPr="00F176D3" w:rsidRDefault="00E87520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9FF01B" w14:textId="1788DF8D" w:rsidR="00E87520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F176D3" w14:paraId="61713E2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</w:tcPr>
          <w:p w14:paraId="412EAC5D" w14:textId="78F4D586" w:rsidR="001121D6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697324B" w14:textId="77777777" w:rsidR="001121D6" w:rsidRPr="00F176D3" w:rsidRDefault="001121D6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A397C4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06A9FB5" w14:textId="3304BAD9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</w:t>
            </w:r>
            <w:r w:rsidR="009B5E13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e and access to a vehicle?</w:t>
            </w:r>
          </w:p>
        </w:tc>
        <w:tc>
          <w:tcPr>
            <w:tcW w:w="1661" w:type="dxa"/>
          </w:tcPr>
          <w:p w14:paraId="257DC36A" w14:textId="63B06373" w:rsidR="001121D6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4BE791F" w14:textId="77777777" w:rsidR="001121D6" w:rsidRPr="00F176D3" w:rsidRDefault="001121D6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ED406F3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Does this role attract an essential car user allowance?</w:t>
            </w:r>
          </w:p>
        </w:tc>
        <w:tc>
          <w:tcPr>
            <w:tcW w:w="1661" w:type="dxa"/>
          </w:tcPr>
          <w:p w14:paraId="10525628" w14:textId="00E410AB" w:rsidR="001121D6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1C006DC" w14:textId="77777777" w:rsidR="001121D6" w:rsidRPr="00F176D3" w:rsidRDefault="001121D6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20D291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6A0009A1" w14:textId="77777777" w:rsidR="001121D6" w:rsidRPr="00F176D3" w:rsidRDefault="001121D6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E7E659E" w14:textId="48601416" w:rsidR="001121D6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F176D3" w14:paraId="31F8B2D5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7AE2FDB" w14:textId="77777777" w:rsidR="001121D6" w:rsidRPr="00F176D3" w:rsidRDefault="001121D6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06EB3E9" w14:textId="28EF7107" w:rsidR="001121D6" w:rsidRPr="00F176D3" w:rsidRDefault="00361E2A" w:rsidP="00361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41018A">
      <w:headerReference w:type="even" r:id="rId16"/>
      <w:footerReference w:type="even" r:id="rId17"/>
      <w:footerReference w:type="default" r:id="rId18"/>
      <w:footerReference w:type="first" r:id="rId19"/>
      <w:pgSz w:w="11906" w:h="16838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E4C5" w14:textId="77777777" w:rsidR="007C4300" w:rsidRDefault="007C4300" w:rsidP="00363B96">
      <w:pPr>
        <w:spacing w:after="0" w:line="240" w:lineRule="auto"/>
      </w:pPr>
      <w:r>
        <w:separator/>
      </w:r>
    </w:p>
  </w:endnote>
  <w:endnote w:type="continuationSeparator" w:id="0">
    <w:p w14:paraId="0E28F18F" w14:textId="77777777" w:rsidR="007C4300" w:rsidRDefault="007C4300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2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74D2" w14:textId="77777777" w:rsidR="007C4300" w:rsidRDefault="007C4300" w:rsidP="00363B96">
      <w:pPr>
        <w:spacing w:after="0" w:line="240" w:lineRule="auto"/>
      </w:pPr>
      <w:r>
        <w:separator/>
      </w:r>
    </w:p>
  </w:footnote>
  <w:footnote w:type="continuationSeparator" w:id="0">
    <w:p w14:paraId="4AD87D47" w14:textId="77777777" w:rsidR="007C4300" w:rsidRDefault="007C4300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22"/>
    <w:multiLevelType w:val="hybridMultilevel"/>
    <w:tmpl w:val="5754BDBC"/>
    <w:lvl w:ilvl="0" w:tplc="A3046D5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A24B9"/>
    <w:multiLevelType w:val="hybridMultilevel"/>
    <w:tmpl w:val="C6206448"/>
    <w:lvl w:ilvl="0" w:tplc="5E542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D6D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A167B"/>
    <w:multiLevelType w:val="hybridMultilevel"/>
    <w:tmpl w:val="43A2004E"/>
    <w:lvl w:ilvl="0" w:tplc="B09857C4">
      <w:start w:val="1"/>
      <w:numFmt w:val="bullet"/>
      <w:lvlText w:val="w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2A8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21"/>
  </w:num>
  <w:num w:numId="2" w16cid:durableId="1344210511">
    <w:abstractNumId w:val="10"/>
  </w:num>
  <w:num w:numId="3" w16cid:durableId="1285887353">
    <w:abstractNumId w:val="11"/>
  </w:num>
  <w:num w:numId="4" w16cid:durableId="899638842">
    <w:abstractNumId w:val="15"/>
  </w:num>
  <w:num w:numId="5" w16cid:durableId="1073040944">
    <w:abstractNumId w:val="9"/>
  </w:num>
  <w:num w:numId="6" w16cid:durableId="920413156">
    <w:abstractNumId w:val="23"/>
  </w:num>
  <w:num w:numId="7" w16cid:durableId="910652712">
    <w:abstractNumId w:val="22"/>
  </w:num>
  <w:num w:numId="8" w16cid:durableId="808405719">
    <w:abstractNumId w:val="17"/>
  </w:num>
  <w:num w:numId="9" w16cid:durableId="874197850">
    <w:abstractNumId w:val="18"/>
  </w:num>
  <w:num w:numId="10" w16cid:durableId="1877156411">
    <w:abstractNumId w:val="8"/>
  </w:num>
  <w:num w:numId="11" w16cid:durableId="724107687">
    <w:abstractNumId w:val="20"/>
  </w:num>
  <w:num w:numId="12" w16cid:durableId="58946071">
    <w:abstractNumId w:val="12"/>
  </w:num>
  <w:num w:numId="13" w16cid:durableId="567156954">
    <w:abstractNumId w:val="6"/>
  </w:num>
  <w:num w:numId="14" w16cid:durableId="1014070894">
    <w:abstractNumId w:val="3"/>
  </w:num>
  <w:num w:numId="15" w16cid:durableId="897202664">
    <w:abstractNumId w:val="2"/>
  </w:num>
  <w:num w:numId="16" w16cid:durableId="717120348">
    <w:abstractNumId w:val="19"/>
  </w:num>
  <w:num w:numId="17" w16cid:durableId="844830987">
    <w:abstractNumId w:val="13"/>
  </w:num>
  <w:num w:numId="18" w16cid:durableId="249973899">
    <w:abstractNumId w:val="1"/>
  </w:num>
  <w:num w:numId="19" w16cid:durableId="1359743769">
    <w:abstractNumId w:val="7"/>
  </w:num>
  <w:num w:numId="20" w16cid:durableId="456877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6"/>
  </w:num>
  <w:num w:numId="22" w16cid:durableId="1198086086">
    <w:abstractNumId w:val="0"/>
  </w:num>
  <w:num w:numId="23" w16cid:durableId="1861165584">
    <w:abstractNumId w:val="14"/>
  </w:num>
  <w:num w:numId="24" w16cid:durableId="1277566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7E90"/>
    <w:rsid w:val="00033861"/>
    <w:rsid w:val="00043EFA"/>
    <w:rsid w:val="00061556"/>
    <w:rsid w:val="000855DA"/>
    <w:rsid w:val="00090CAB"/>
    <w:rsid w:val="00097850"/>
    <w:rsid w:val="000A7C4A"/>
    <w:rsid w:val="000B34B3"/>
    <w:rsid w:val="000E4FC9"/>
    <w:rsid w:val="001121D6"/>
    <w:rsid w:val="0011615F"/>
    <w:rsid w:val="0011755E"/>
    <w:rsid w:val="00134037"/>
    <w:rsid w:val="001405B2"/>
    <w:rsid w:val="00141412"/>
    <w:rsid w:val="001747C9"/>
    <w:rsid w:val="001933F1"/>
    <w:rsid w:val="001B2437"/>
    <w:rsid w:val="001B7EB8"/>
    <w:rsid w:val="001E2363"/>
    <w:rsid w:val="001F4160"/>
    <w:rsid w:val="00200F01"/>
    <w:rsid w:val="002232D2"/>
    <w:rsid w:val="00235BA3"/>
    <w:rsid w:val="0026105A"/>
    <w:rsid w:val="00286160"/>
    <w:rsid w:val="00292BFA"/>
    <w:rsid w:val="002B77C8"/>
    <w:rsid w:val="002C335B"/>
    <w:rsid w:val="002D4C44"/>
    <w:rsid w:val="003518E5"/>
    <w:rsid w:val="003559F1"/>
    <w:rsid w:val="00361E2A"/>
    <w:rsid w:val="00363B96"/>
    <w:rsid w:val="00393097"/>
    <w:rsid w:val="003973B4"/>
    <w:rsid w:val="003C1E2D"/>
    <w:rsid w:val="003D41CE"/>
    <w:rsid w:val="003F2E06"/>
    <w:rsid w:val="0041018A"/>
    <w:rsid w:val="00423955"/>
    <w:rsid w:val="00456740"/>
    <w:rsid w:val="004B1974"/>
    <w:rsid w:val="004B7F4A"/>
    <w:rsid w:val="004D1C4D"/>
    <w:rsid w:val="004F4FE4"/>
    <w:rsid w:val="00512E7F"/>
    <w:rsid w:val="00531396"/>
    <w:rsid w:val="00567756"/>
    <w:rsid w:val="00572524"/>
    <w:rsid w:val="00573272"/>
    <w:rsid w:val="00596DEA"/>
    <w:rsid w:val="005A1207"/>
    <w:rsid w:val="005A4EC0"/>
    <w:rsid w:val="005B5F7A"/>
    <w:rsid w:val="005C6A94"/>
    <w:rsid w:val="005E35F4"/>
    <w:rsid w:val="00611D18"/>
    <w:rsid w:val="00630362"/>
    <w:rsid w:val="00634A57"/>
    <w:rsid w:val="00643387"/>
    <w:rsid w:val="00643E4A"/>
    <w:rsid w:val="006A2B7B"/>
    <w:rsid w:val="006C625E"/>
    <w:rsid w:val="006D488F"/>
    <w:rsid w:val="00712A9D"/>
    <w:rsid w:val="00720FE8"/>
    <w:rsid w:val="00772130"/>
    <w:rsid w:val="00776047"/>
    <w:rsid w:val="0077737A"/>
    <w:rsid w:val="00783096"/>
    <w:rsid w:val="007A7F7E"/>
    <w:rsid w:val="007B17A0"/>
    <w:rsid w:val="007C4300"/>
    <w:rsid w:val="007D790F"/>
    <w:rsid w:val="00803AE3"/>
    <w:rsid w:val="008240C5"/>
    <w:rsid w:val="0083630F"/>
    <w:rsid w:val="008442CF"/>
    <w:rsid w:val="00856869"/>
    <w:rsid w:val="00866564"/>
    <w:rsid w:val="00866FD0"/>
    <w:rsid w:val="008961E7"/>
    <w:rsid w:val="008B1AB5"/>
    <w:rsid w:val="008E314C"/>
    <w:rsid w:val="008F2AE3"/>
    <w:rsid w:val="00900F57"/>
    <w:rsid w:val="00913233"/>
    <w:rsid w:val="009178F8"/>
    <w:rsid w:val="00931C0D"/>
    <w:rsid w:val="009907D1"/>
    <w:rsid w:val="00997541"/>
    <w:rsid w:val="009B5E13"/>
    <w:rsid w:val="009C28E1"/>
    <w:rsid w:val="009C40B2"/>
    <w:rsid w:val="009F4D28"/>
    <w:rsid w:val="00A3323D"/>
    <w:rsid w:val="00A33560"/>
    <w:rsid w:val="00A524FE"/>
    <w:rsid w:val="00A76FAD"/>
    <w:rsid w:val="00AD1590"/>
    <w:rsid w:val="00AE3538"/>
    <w:rsid w:val="00AE7D07"/>
    <w:rsid w:val="00AF404E"/>
    <w:rsid w:val="00B54A5E"/>
    <w:rsid w:val="00B81453"/>
    <w:rsid w:val="00B92C1B"/>
    <w:rsid w:val="00BA2CD3"/>
    <w:rsid w:val="00C10159"/>
    <w:rsid w:val="00CA468C"/>
    <w:rsid w:val="00CD5690"/>
    <w:rsid w:val="00D12201"/>
    <w:rsid w:val="00D15DD1"/>
    <w:rsid w:val="00D23CC6"/>
    <w:rsid w:val="00D45075"/>
    <w:rsid w:val="00D75FDE"/>
    <w:rsid w:val="00D84031"/>
    <w:rsid w:val="00D844E0"/>
    <w:rsid w:val="00D87065"/>
    <w:rsid w:val="00DC02B5"/>
    <w:rsid w:val="00DD4630"/>
    <w:rsid w:val="00E30CF4"/>
    <w:rsid w:val="00E53E6A"/>
    <w:rsid w:val="00E87520"/>
    <w:rsid w:val="00E87902"/>
    <w:rsid w:val="00E87EA7"/>
    <w:rsid w:val="00EC3289"/>
    <w:rsid w:val="00ED2010"/>
    <w:rsid w:val="00EE0FC6"/>
    <w:rsid w:val="00EF1864"/>
    <w:rsid w:val="00F1614D"/>
    <w:rsid w:val="00F176D3"/>
    <w:rsid w:val="00F300E8"/>
    <w:rsid w:val="00F5548D"/>
    <w:rsid w:val="00F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  <w:style w:type="paragraph" w:customStyle="1" w:styleId="Default">
    <w:name w:val="Default"/>
    <w:rsid w:val="005C6A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run.gov.uk/download.cfm?doc=docm93jijm4n18990.pdf&amp;ver=2044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0" Type="http://schemas.openxmlformats.org/officeDocument/2006/relationships/fontTable" Target="fontTable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rungovuk.sharepoint.com/sites/intranet/staff/Useful%20documents/Arun%20values%20explanatio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FCE6AB7FED8448F64DA51D340B357" ma:contentTypeVersion="169" ma:contentTypeDescription="Create a new document." ma:contentTypeScope="" ma:versionID="2b0faf588d7bfbbb03f6ee60f97d0f7a">
  <xsd:schema xmlns:xsd="http://www.w3.org/2001/XMLSchema" xmlns:xs="http://www.w3.org/2001/XMLSchema" xmlns:p="http://schemas.microsoft.com/office/2006/metadata/properties" xmlns:ns2="2ec76aa1-5f41-4488-93ab-a46735e308f0" xmlns:ns3="e71b166d-6da2-46a9-827c-4dffec666e09" targetNamespace="http://schemas.microsoft.com/office/2006/metadata/properties" ma:root="true" ma:fieldsID="887951dde21c06b892e518e2dd5fccbd" ns2:_="" ns3:_="">
    <xsd:import namespace="2ec76aa1-5f41-4488-93ab-a46735e308f0"/>
    <xsd:import namespace="e71b166d-6da2-46a9-827c-4dffec666e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6aa1-5f41-4488-93ab-a46735e308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ca64c8c-fd70-4526-8e9c-05f667ad7c46}" ma:internalName="TaxCatchAll" ma:readOnly="false" ma:showField="CatchAllDat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b166d-6da2-46a9-827c-4dffec666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8751996D7848AD8E399146BA56F4" ma:contentTypeVersion="15" ma:contentTypeDescription="Create a new document." ma:contentTypeScope="" ma:versionID="aa1fa20ad9f937475a3cf18bfc4711dc">
  <xsd:schema xmlns:xsd="http://www.w3.org/2001/XMLSchema" xmlns:xs="http://www.w3.org/2001/XMLSchema" xmlns:p="http://schemas.microsoft.com/office/2006/metadata/properties" xmlns:ns2="904388d0-3dcc-46a8-a666-69463cc8d197" xmlns:ns3="3789b864-796c-4a2d-9a26-c831b5515d88" targetNamespace="http://schemas.microsoft.com/office/2006/metadata/properties" ma:root="true" ma:fieldsID="3d545f3f9cc215e745725dd9d50a3406" ns2:_="" ns3:_="">
    <xsd:import namespace="904388d0-3dcc-46a8-a666-69463cc8d197"/>
    <xsd:import namespace="3789b864-796c-4a2d-9a26-c831b55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88d0-3dcc-46a8-a666-69463cc8d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b864-796c-4a2d-9a26-c831b5515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3a40f0-4cd9-47ac-af63-493e254d693e}" ma:internalName="TaxCatchAll" ma:showField="CatchAllData" ma:web="3789b864-796c-4a2d-9a26-c831b55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388d0-3dcc-46a8-a666-69463cc8d197">
      <Terms xmlns="http://schemas.microsoft.com/office/infopath/2007/PartnerControls"/>
    </lcf76f155ced4ddcb4097134ff3c332f>
    <TaxCatchAll xmlns="3789b864-796c-4a2d-9a26-c831b5515d88" xsi:nil="true"/>
  </documentManagement>
</p:properties>
</file>

<file path=customXml/itemProps1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3408E-0022-4675-A6B7-900467BC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76aa1-5f41-4488-93ab-a46735e308f0"/>
    <ds:schemaRef ds:uri="e71b166d-6da2-46a9-827c-4dffec666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894B7-E3CD-4DAC-A651-3E10078CC983}"/>
</file>

<file path=customXml/itemProps4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FD89C3-DE96-4B5B-93D3-412829084A88}">
  <ds:schemaRefs>
    <ds:schemaRef ds:uri="http://schemas.microsoft.com/office/2006/metadata/properties"/>
    <ds:schemaRef ds:uri="http://schemas.microsoft.com/office/infopath/2007/PartnerControls"/>
    <ds:schemaRef ds:uri="e71b166d-6da2-46a9-827c-4dffec666e09"/>
    <ds:schemaRef ds:uri="2ec76aa1-5f41-4488-93ab-a46735e30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Louise Crane</cp:lastModifiedBy>
  <cp:revision>17</cp:revision>
  <dcterms:created xsi:type="dcterms:W3CDTF">2025-12-23T12:14:00Z</dcterms:created>
  <dcterms:modified xsi:type="dcterms:W3CDTF">2026-04-17T15:18:00Z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0x0101004EA78751996D7848AD8E399146BA56F4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415f3117-822d-4cfb-b631-7e2cc97be18b</vt:lpwstr>
  </property>
</Properties>
</file>