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5c38" w:val="clear"/>
        <w:spacing w:after="0" w:before="0"/>
        <w:jc w:val="center"/>
      </w:pPr>
      <w:r>
        <w:rPr>
          <w:rFonts w:ascii="Arial" w:cs="Arial" w:eastAsia="Arial" w:hAnsi="Arial"/>
          <w:b/>
          <w:bCs/>
          <w:color w:val="FFFFFF"/>
          <w:sz w:val="44"/>
          <w:szCs w:val="44"/>
        </w:rPr>
        <w:t xml:space="preserve">Person Specification</w:t>
      </w:r>
    </w:p>
    <w:p>
      <w:pPr>
        <w:shd w:fill="2d7a4f" w:val="clear"/>
        <w:spacing w:after="60" w:before="60"/>
        <w:jc w:val="center"/>
      </w:pPr>
      <w:r>
        <w:rPr>
          <w:rFonts w:ascii="Arial" w:cs="Arial" w:eastAsia="Arial" w:hAnsi="Arial"/>
          <w:color w:val="FFFFFF"/>
          <w:sz w:val="24"/>
          <w:szCs w:val="24"/>
        </w:rPr>
        <w:t xml:space="preserve">Class Teacher  |  Freshfield Primary School</w:t>
      </w:r>
    </w:p>
    <w:p>
      <w:pPr>
        <w:spacing w:after="20" w:before="80"/>
      </w:pPr>
      <w:r>
        <w:t xml:space="preserve"/>
      </w:r>
    </w:p>
    <w:p>
      <w:pPr>
        <w:shd w:fill="d6ead0" w:val="clear"/>
        <w:spacing w:after="120" w:before="40"/>
        <w:ind w:left="220" w:right="220"/>
      </w:pPr>
      <w:r>
        <w:rPr>
          <w:rFonts w:ascii="Arial" w:cs="Arial" w:eastAsia="Arial" w:hAnsi="Arial"/>
          <w:i/>
          <w:iCs/>
          <w:color w:val="000000"/>
          <w:sz w:val="20"/>
          <w:szCs w:val="20"/>
        </w:rPr>
        <w:t xml:space="preserve">We welcome applications from teachers at any stage of their career and from both mainstream and specialist backgrounds. What matters most is who you are as a practitioner and the values you bring. All essential criteria will be assessed through application, interview, and a school visit.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700"/>
        <w:gridCol w:w="3326"/>
      </w:tblGrid>
      <w:tr>
        <w:trPr>
          <w:tblHeader/>
        </w:trPr>
        <w:tc>
          <w:tcPr>
            <w:tcW w:type="dxa" w:w="2000"/>
            <w:tcBorders>
              <w:top w:val="single" w:color="2d7a4f" w:sz="1"/>
              <w:left w:val="single" w:color="2d7a4f" w:sz="1"/>
              <w:bottom w:val="single" w:color="2d7a4f" w:sz="1"/>
              <w:right w:val="single" w:color="2d7a4f" w:sz="1"/>
            </w:tcBorders>
            <w:shd w:fill="1a5c38" w:val="clear"/>
            <w:tcMar>
              <w:top w:type="dxa" w:w="100"/>
              <w:left w:type="dxa" w:w="140"/>
              <w:bottom w:type="dxa" w:w="100"/>
              <w:right w:type="dxa" w:w="140"/>
            </w:tcMar>
          </w:tcPr>
          <w:p>
            <w:r>
              <w:rPr>
                <w:rFonts w:ascii="Arial" w:cs="Arial" w:eastAsia="Arial" w:hAnsi="Arial"/>
                <w:b/>
                <w:bCs/>
                <w:color w:val="FFFFFF"/>
                <w:sz w:val="20"/>
                <w:szCs w:val="20"/>
              </w:rPr>
              <w:t xml:space="preserve">Area</w:t>
            </w:r>
          </w:p>
        </w:tc>
        <w:tc>
          <w:tcPr>
            <w:tcW w:type="dxa" w:w="3700"/>
            <w:tcBorders>
              <w:top w:val="single" w:color="2d7a4f" w:sz="1"/>
              <w:left w:val="single" w:color="2d7a4f" w:sz="1"/>
              <w:bottom w:val="single" w:color="2d7a4f" w:sz="1"/>
              <w:right w:val="single" w:color="2d7a4f" w:sz="1"/>
            </w:tcBorders>
            <w:shd w:fill="1a5c38" w:val="clear"/>
            <w:tcMar>
              <w:top w:type="dxa" w:w="100"/>
              <w:left w:type="dxa" w:w="140"/>
              <w:bottom w:type="dxa" w:w="100"/>
              <w:right w:type="dxa" w:w="140"/>
            </w:tcMar>
          </w:tcPr>
          <w:p>
            <w:r>
              <w:rPr>
                <w:rFonts w:ascii="Arial" w:cs="Arial" w:eastAsia="Arial" w:hAnsi="Arial"/>
                <w:b/>
                <w:bCs/>
                <w:color w:val="FFFFFF"/>
                <w:sz w:val="20"/>
                <w:szCs w:val="20"/>
              </w:rPr>
              <w:t xml:space="preserve">Essential</w:t>
            </w:r>
          </w:p>
        </w:tc>
        <w:tc>
          <w:tcPr>
            <w:tcW w:type="dxa" w:w="3326"/>
            <w:tcBorders>
              <w:top w:val="single" w:color="2d7a4f" w:sz="1"/>
              <w:left w:val="single" w:color="2d7a4f" w:sz="1"/>
              <w:bottom w:val="single" w:color="2d7a4f" w:sz="1"/>
              <w:right w:val="single" w:color="2d7a4f" w:sz="1"/>
            </w:tcBorders>
            <w:shd w:fill="1a5c38" w:val="clear"/>
            <w:tcMar>
              <w:top w:type="dxa" w:w="100"/>
              <w:left w:type="dxa" w:w="140"/>
              <w:bottom w:type="dxa" w:w="100"/>
              <w:right w:type="dxa" w:w="140"/>
            </w:tcMar>
          </w:tcPr>
          <w:p>
            <w:r>
              <w:rPr>
                <w:rFonts w:ascii="Arial" w:cs="Arial" w:eastAsia="Arial" w:hAnsi="Arial"/>
                <w:b/>
                <w:bCs/>
                <w:color w:val="FFFFFF"/>
                <w:sz w:val="20"/>
                <w:szCs w:val="20"/>
              </w:rPr>
              <w:t xml:space="preserve">Desirable</w:t>
            </w:r>
          </w:p>
        </w:tc>
      </w:tr>
      <w:tr>
        <w:tc>
          <w:tcPr>
            <w:tcW w:type="dxa" w:w="20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Qualifications</w:t>
            </w:r>
          </w:p>
        </w:tc>
        <w:tc>
          <w:tcPr>
            <w:tcW w:type="dxa" w:w="3700"/>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Qualified Teacher Status (QTS) or on track to achieve it</w:t>
            </w:r>
          </w:p>
          <w:p>
            <w:pPr>
              <w:pStyle w:val="ListParagraph"/>
              <w:numPr>
                <w:ilvl w:val="0"/>
                <w:numId w:val="2"/>
              </w:numPr>
              <w:spacing w:after="30" w:before="30"/>
            </w:pPr>
            <w:r>
              <w:rPr>
                <w:rFonts w:ascii="Arial" w:cs="Arial" w:eastAsia="Arial" w:hAnsi="Arial"/>
                <w:color w:val="000000"/>
                <w:sz w:val="19"/>
                <w:szCs w:val="19"/>
              </w:rPr>
              <w:t xml:space="preserve">Evidence of recent and relevant CPD</w:t>
            </w:r>
          </w:p>
          <w:p>
            <w:pPr>
              <w:pStyle w:val="ListParagraph"/>
              <w:numPr>
                <w:ilvl w:val="0"/>
                <w:numId w:val="2"/>
              </w:numPr>
              <w:spacing w:after="30" w:before="30"/>
            </w:pPr>
            <w:r>
              <w:rPr>
                <w:rFonts w:ascii="Arial" w:cs="Arial" w:eastAsia="Arial" w:hAnsi="Arial"/>
                <w:color w:val="000000"/>
                <w:sz w:val="19"/>
                <w:szCs w:val="19"/>
              </w:rPr>
              <w:t xml:space="preserve">Degree-level qualification or equivalent</w:t>
            </w:r>
          </w:p>
        </w:tc>
        <w:tc>
          <w:tcPr>
            <w:tcW w:type="dxa" w:w="3326"/>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Further qualifications relevant to SEND or inclusion</w:t>
            </w:r>
          </w:p>
          <w:p>
            <w:pPr>
              <w:pStyle w:val="ListParagraph"/>
              <w:numPr>
                <w:ilvl w:val="0"/>
                <w:numId w:val="2"/>
              </w:numPr>
              <w:spacing w:after="30" w:before="30"/>
            </w:pPr>
            <w:r>
              <w:rPr>
                <w:rFonts w:ascii="Arial" w:cs="Arial" w:eastAsia="Arial" w:hAnsi="Arial"/>
                <w:color w:val="000000"/>
                <w:sz w:val="19"/>
                <w:szCs w:val="19"/>
              </w:rPr>
              <w:t xml:space="preserve">Team Teach or equivalent positive handling training</w:t>
            </w:r>
          </w:p>
          <w:p>
            <w:pPr>
              <w:pStyle w:val="ListParagraph"/>
              <w:numPr>
                <w:ilvl w:val="0"/>
                <w:numId w:val="2"/>
              </w:numPr>
              <w:spacing w:after="30" w:before="30"/>
            </w:pPr>
            <w:r>
              <w:rPr>
                <w:rFonts w:ascii="Arial" w:cs="Arial" w:eastAsia="Arial" w:hAnsi="Arial"/>
                <w:color w:val="000000"/>
                <w:sz w:val="19"/>
                <w:szCs w:val="19"/>
              </w:rPr>
              <w:t xml:space="preserve">First Aid or coaching awards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000000"/>
                <w:sz w:val="20"/>
                <w:szCs w:val="20"/>
              </w:rPr>
              <w:t xml:space="preserve">Experience</w:t>
            </w:r>
          </w:p>
        </w:tc>
        <w:tc>
          <w:tcPr>
            <w:tcW w:type="dxa" w:w="3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Teaching experience in primary and/or special education (NQTs/ECTs welcome)</w:t>
            </w:r>
          </w:p>
          <w:p>
            <w:pPr>
              <w:pStyle w:val="ListParagraph"/>
              <w:numPr>
                <w:ilvl w:val="0"/>
                <w:numId w:val="2"/>
              </w:numPr>
              <w:spacing w:after="30" w:before="30"/>
            </w:pPr>
            <w:r>
              <w:rPr>
                <w:rFonts w:ascii="Arial" w:cs="Arial" w:eastAsia="Arial" w:hAnsi="Arial"/>
                <w:color w:val="000000"/>
                <w:sz w:val="19"/>
                <w:szCs w:val="19"/>
              </w:rPr>
              <w:t xml:space="preserve">Experience of working with children with SEND or an eagerness to develop this</w:t>
            </w:r>
          </w:p>
          <w:p>
            <w:pPr>
              <w:pStyle w:val="ListParagraph"/>
              <w:numPr>
                <w:ilvl w:val="0"/>
                <w:numId w:val="2"/>
              </w:numPr>
              <w:spacing w:after="30" w:before="30"/>
            </w:pPr>
            <w:r>
              <w:rPr>
                <w:rFonts w:ascii="Arial" w:cs="Arial" w:eastAsia="Arial" w:hAnsi="Arial"/>
                <w:color w:val="000000"/>
                <w:sz w:val="19"/>
                <w:szCs w:val="19"/>
              </w:rPr>
              <w:t xml:space="preserve">Demonstrated ability to build strong relationships with children and families</w:t>
            </w:r>
          </w:p>
          <w:p>
            <w:pPr>
              <w:pStyle w:val="ListParagraph"/>
              <w:numPr>
                <w:ilvl w:val="0"/>
                <w:numId w:val="2"/>
              </w:numPr>
              <w:spacing w:after="30" w:before="30"/>
            </w:pPr>
            <w:r>
              <w:rPr>
                <w:rFonts w:ascii="Arial" w:cs="Arial" w:eastAsia="Arial" w:hAnsi="Arial"/>
                <w:color w:val="000000"/>
                <w:sz w:val="19"/>
                <w:szCs w:val="19"/>
              </w:rPr>
              <w:t xml:space="preserve">Experience of collaborative working within a team</w:t>
            </w:r>
          </w:p>
        </w:tc>
        <w:tc>
          <w:tcPr>
            <w:tcW w:type="dxa" w:w="3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Experience teaching across more than one key stage</w:t>
            </w:r>
          </w:p>
          <w:p>
            <w:pPr>
              <w:pStyle w:val="ListParagraph"/>
              <w:numPr>
                <w:ilvl w:val="0"/>
                <w:numId w:val="2"/>
              </w:numPr>
              <w:spacing w:after="30" w:before="30"/>
            </w:pPr>
            <w:r>
              <w:rPr>
                <w:rFonts w:ascii="Arial" w:cs="Arial" w:eastAsia="Arial" w:hAnsi="Arial"/>
                <w:color w:val="000000"/>
                <w:sz w:val="19"/>
                <w:szCs w:val="19"/>
              </w:rPr>
              <w:t xml:space="preserve">Experience supporting children with autism and/or complex communication needs</w:t>
            </w:r>
          </w:p>
          <w:p>
            <w:pPr>
              <w:pStyle w:val="ListParagraph"/>
              <w:numPr>
                <w:ilvl w:val="0"/>
                <w:numId w:val="2"/>
              </w:numPr>
              <w:spacing w:after="30" w:before="30"/>
            </w:pPr>
            <w:r>
              <w:rPr>
                <w:rFonts w:ascii="Arial" w:cs="Arial" w:eastAsia="Arial" w:hAnsi="Arial"/>
                <w:color w:val="000000"/>
                <w:sz w:val="19"/>
                <w:szCs w:val="19"/>
              </w:rPr>
              <w:t xml:space="preserve">Experience working within an EHCP framework</w:t>
            </w:r>
          </w:p>
        </w:tc>
      </w:tr>
      <w:tr>
        <w:tc>
          <w:tcPr>
            <w:tcW w:type="dxa" w:w="20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Teaching &amp; Learning</w:t>
            </w:r>
          </w:p>
        </w:tc>
        <w:tc>
          <w:tcPr>
            <w:tcW w:type="dxa" w:w="3700"/>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Proven or developing ability to plan and deliver high-quality, differentiated lessons</w:t>
            </w:r>
          </w:p>
          <w:p>
            <w:pPr>
              <w:pStyle w:val="ListParagraph"/>
              <w:numPr>
                <w:ilvl w:val="0"/>
                <w:numId w:val="2"/>
              </w:numPr>
              <w:spacing w:after="30" w:before="30"/>
            </w:pPr>
            <w:r>
              <w:rPr>
                <w:rFonts w:ascii="Arial" w:cs="Arial" w:eastAsia="Arial" w:hAnsi="Arial"/>
                <w:color w:val="000000"/>
                <w:sz w:val="19"/>
                <w:szCs w:val="19"/>
              </w:rPr>
              <w:t xml:space="preserve">Ability to use assessment effectively to inform teaching and track progress</w:t>
            </w:r>
          </w:p>
          <w:p>
            <w:pPr>
              <w:pStyle w:val="ListParagraph"/>
              <w:numPr>
                <w:ilvl w:val="0"/>
                <w:numId w:val="2"/>
              </w:numPr>
              <w:spacing w:after="30" w:before="30"/>
            </w:pPr>
            <w:r>
              <w:rPr>
                <w:rFonts w:ascii="Arial" w:cs="Arial" w:eastAsia="Arial" w:hAnsi="Arial"/>
                <w:color w:val="000000"/>
                <w:sz w:val="19"/>
                <w:szCs w:val="19"/>
              </w:rPr>
              <w:t xml:space="preserve">Skill in creating inclusive, purposeful learning environments</w:t>
            </w:r>
          </w:p>
          <w:p>
            <w:pPr>
              <w:pStyle w:val="ListParagraph"/>
              <w:numPr>
                <w:ilvl w:val="0"/>
                <w:numId w:val="2"/>
              </w:numPr>
              <w:spacing w:after="30" w:before="30"/>
            </w:pPr>
            <w:r>
              <w:rPr>
                <w:rFonts w:ascii="Arial" w:cs="Arial" w:eastAsia="Arial" w:hAnsi="Arial"/>
                <w:color w:val="000000"/>
                <w:sz w:val="19"/>
                <w:szCs w:val="19"/>
              </w:rPr>
              <w:t xml:space="preserve">Positive, relational approach to behaviour support</w:t>
            </w:r>
          </w:p>
          <w:p>
            <w:pPr>
              <w:pStyle w:val="ListParagraph"/>
              <w:numPr>
                <w:ilvl w:val="0"/>
                <w:numId w:val="2"/>
              </w:numPr>
              <w:spacing w:after="30" w:before="30"/>
            </w:pPr>
            <w:r>
              <w:rPr>
                <w:rFonts w:ascii="Arial" w:cs="Arial" w:eastAsia="Arial" w:hAnsi="Arial"/>
                <w:color w:val="000000"/>
                <w:sz w:val="19"/>
                <w:szCs w:val="19"/>
              </w:rPr>
              <w:t xml:space="preserve">Commitment to delivering a personalised curriculum where needed</w:t>
            </w:r>
          </w:p>
        </w:tc>
        <w:tc>
          <w:tcPr>
            <w:tcW w:type="dxa" w:w="3326"/>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Familiarity with semi-formal or informal curriculum frameworks</w:t>
            </w:r>
          </w:p>
          <w:p>
            <w:pPr>
              <w:pStyle w:val="ListParagraph"/>
              <w:numPr>
                <w:ilvl w:val="0"/>
                <w:numId w:val="2"/>
              </w:numPr>
              <w:spacing w:after="30" w:before="30"/>
            </w:pPr>
            <w:r>
              <w:rPr>
                <w:rFonts w:ascii="Arial" w:cs="Arial" w:eastAsia="Arial" w:hAnsi="Arial"/>
                <w:color w:val="000000"/>
                <w:sz w:val="19"/>
                <w:szCs w:val="19"/>
              </w:rPr>
              <w:t xml:space="preserve">Experience with Engagement Steps or equivalent assessment tools</w:t>
            </w:r>
          </w:p>
          <w:p>
            <w:pPr>
              <w:pStyle w:val="ListParagraph"/>
              <w:numPr>
                <w:ilvl w:val="0"/>
                <w:numId w:val="2"/>
              </w:numPr>
              <w:spacing w:after="30" w:before="30"/>
            </w:pPr>
            <w:r>
              <w:rPr>
                <w:rFonts w:ascii="Arial" w:cs="Arial" w:eastAsia="Arial" w:hAnsi="Arial"/>
                <w:color w:val="000000"/>
                <w:sz w:val="19"/>
                <w:szCs w:val="19"/>
              </w:rPr>
              <w:t xml:space="preserve">Knowledge of language development approaches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000000"/>
                <w:sz w:val="20"/>
                <w:szCs w:val="20"/>
              </w:rPr>
              <w:t xml:space="preserve">Technology</w:t>
            </w:r>
          </w:p>
        </w:tc>
        <w:tc>
          <w:tcPr>
            <w:tcW w:type="dxa" w:w="3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Willingness and enthusiasm to develop use of educational technology</w:t>
            </w:r>
          </w:p>
          <w:p>
            <w:pPr>
              <w:pStyle w:val="ListParagraph"/>
              <w:numPr>
                <w:ilvl w:val="0"/>
                <w:numId w:val="2"/>
              </w:numPr>
              <w:spacing w:after="30" w:before="30"/>
            </w:pPr>
            <w:r>
              <w:rPr>
                <w:rFonts w:ascii="Arial" w:cs="Arial" w:eastAsia="Arial" w:hAnsi="Arial"/>
                <w:color w:val="000000"/>
                <w:sz w:val="19"/>
                <w:szCs w:val="19"/>
              </w:rPr>
              <w:t xml:space="preserve">Basic competency with digital tools for planning, assessment, and communication</w:t>
            </w:r>
          </w:p>
          <w:p>
            <w:pPr>
              <w:pStyle w:val="ListParagraph"/>
              <w:numPr>
                <w:ilvl w:val="0"/>
                <w:numId w:val="2"/>
              </w:numPr>
              <w:spacing w:after="30" w:before="30"/>
            </w:pPr>
            <w:r>
              <w:rPr>
                <w:rFonts w:ascii="Arial" w:cs="Arial" w:eastAsia="Arial" w:hAnsi="Arial"/>
                <w:color w:val="000000"/>
                <w:sz w:val="19"/>
                <w:szCs w:val="19"/>
              </w:rPr>
              <w:t xml:space="preserve">Commitment to supporting children to use technology safely and critically</w:t>
            </w:r>
          </w:p>
        </w:tc>
        <w:tc>
          <w:tcPr>
            <w:tcW w:type="dxa" w:w="3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Experience using EdTech tools in the classroom (e.g. tablets, interactive displays, AI-assisted tools)</w:t>
            </w:r>
          </w:p>
          <w:p>
            <w:pPr>
              <w:pStyle w:val="ListParagraph"/>
              <w:numPr>
                <w:ilvl w:val="0"/>
                <w:numId w:val="2"/>
              </w:numPr>
              <w:spacing w:after="30" w:before="30"/>
            </w:pPr>
            <w:r>
              <w:rPr>
                <w:rFonts w:ascii="Arial" w:cs="Arial" w:eastAsia="Arial" w:hAnsi="Arial"/>
                <w:color w:val="000000"/>
                <w:sz w:val="19"/>
                <w:szCs w:val="19"/>
              </w:rPr>
              <w:t xml:space="preserve">Understanding of online safety and digital citizenship for primary-aged pupils</w:t>
            </w:r>
          </w:p>
        </w:tc>
      </w:tr>
      <w:tr>
        <w:tc>
          <w:tcPr>
            <w:tcW w:type="dxa" w:w="20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SEND &amp; Inclusion</w:t>
            </w:r>
          </w:p>
        </w:tc>
        <w:tc>
          <w:tcPr>
            <w:tcW w:type="dxa" w:w="3700"/>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Understanding of, or genuine commitment to developing knowledge of, SEND and inclusive practice</w:t>
            </w:r>
          </w:p>
          <w:p>
            <w:pPr>
              <w:pStyle w:val="ListParagraph"/>
              <w:numPr>
                <w:ilvl w:val="0"/>
                <w:numId w:val="2"/>
              </w:numPr>
              <w:spacing w:after="30" w:before="30"/>
            </w:pPr>
            <w:r>
              <w:rPr>
                <w:rFonts w:ascii="Arial" w:cs="Arial" w:eastAsia="Arial" w:hAnsi="Arial"/>
                <w:color w:val="000000"/>
                <w:sz w:val="19"/>
                <w:szCs w:val="19"/>
              </w:rPr>
              <w:t xml:space="preserve">Awareness of the SEND Code of Practice and the role of EHCPs</w:t>
            </w:r>
          </w:p>
          <w:p>
            <w:pPr>
              <w:pStyle w:val="ListParagraph"/>
              <w:numPr>
                <w:ilvl w:val="0"/>
                <w:numId w:val="2"/>
              </w:numPr>
              <w:spacing w:after="30" w:before="30"/>
            </w:pPr>
            <w:r>
              <w:rPr>
                <w:rFonts w:ascii="Arial" w:cs="Arial" w:eastAsia="Arial" w:hAnsi="Arial"/>
                <w:color w:val="000000"/>
                <w:sz w:val="19"/>
                <w:szCs w:val="19"/>
              </w:rPr>
              <w:t xml:space="preserve">Ability to work in partnership with the SENCO and external professionals</w:t>
            </w:r>
          </w:p>
          <w:p>
            <w:pPr>
              <w:pStyle w:val="ListParagraph"/>
              <w:numPr>
                <w:ilvl w:val="0"/>
                <w:numId w:val="2"/>
              </w:numPr>
              <w:spacing w:after="30" w:before="30"/>
            </w:pPr>
            <w:r>
              <w:rPr>
                <w:rFonts w:ascii="Arial" w:cs="Arial" w:eastAsia="Arial" w:hAnsi="Arial"/>
                <w:color w:val="000000"/>
                <w:sz w:val="19"/>
                <w:szCs w:val="19"/>
              </w:rPr>
              <w:t xml:space="preserve">Respect for the whole child — their identity, wellbeing, and potential</w:t>
            </w:r>
          </w:p>
        </w:tc>
        <w:tc>
          <w:tcPr>
            <w:tcW w:type="dxa" w:w="3326"/>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Knowledge of autism, sensory processing, or other specific SEND</w:t>
            </w:r>
          </w:p>
          <w:p>
            <w:pPr>
              <w:pStyle w:val="ListParagraph"/>
              <w:numPr>
                <w:ilvl w:val="0"/>
                <w:numId w:val="2"/>
              </w:numPr>
              <w:spacing w:after="30" w:before="30"/>
            </w:pPr>
            <w:r>
              <w:rPr>
                <w:rFonts w:ascii="Arial" w:cs="Arial" w:eastAsia="Arial" w:hAnsi="Arial"/>
                <w:color w:val="000000"/>
                <w:sz w:val="19"/>
                <w:szCs w:val="19"/>
              </w:rPr>
              <w:t xml:space="preserve">Experience contributing to EHCP reviews or provision mapping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bCs/>
                <w:color w:val="000000"/>
                <w:sz w:val="20"/>
                <w:szCs w:val="20"/>
              </w:rPr>
              <w:t xml:space="preserve">Personal Attributes &amp; Mindset</w:t>
            </w:r>
          </w:p>
        </w:tc>
        <w:tc>
          <w:tcPr>
            <w:tcW w:type="dxa" w:w="3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Warmth, empathy, and genuine care for children and their families</w:t>
            </w:r>
          </w:p>
          <w:p>
            <w:pPr>
              <w:pStyle w:val="ListParagraph"/>
              <w:numPr>
                <w:ilvl w:val="0"/>
                <w:numId w:val="2"/>
              </w:numPr>
              <w:spacing w:after="30" w:before="30"/>
            </w:pPr>
            <w:r>
              <w:rPr>
                <w:rFonts w:ascii="Arial" w:cs="Arial" w:eastAsia="Arial" w:hAnsi="Arial"/>
                <w:color w:val="000000"/>
                <w:sz w:val="19"/>
                <w:szCs w:val="19"/>
              </w:rPr>
              <w:t xml:space="preserve">High expectations of yourself and the children you teach</w:t>
            </w:r>
          </w:p>
          <w:p>
            <w:pPr>
              <w:pStyle w:val="ListParagraph"/>
              <w:numPr>
                <w:ilvl w:val="0"/>
                <w:numId w:val="2"/>
              </w:numPr>
              <w:spacing w:after="30" w:before="30"/>
            </w:pPr>
            <w:r>
              <w:rPr>
                <w:rFonts w:ascii="Arial" w:cs="Arial" w:eastAsia="Arial" w:hAnsi="Arial"/>
                <w:color w:val="000000"/>
                <w:sz w:val="19"/>
                <w:szCs w:val="19"/>
              </w:rPr>
              <w:t xml:space="preserve">Openness to feedback, reflection, and continuous improvement</w:t>
            </w:r>
          </w:p>
          <w:p>
            <w:pPr>
              <w:pStyle w:val="ListParagraph"/>
              <w:numPr>
                <w:ilvl w:val="0"/>
                <w:numId w:val="2"/>
              </w:numPr>
              <w:spacing w:after="30" w:before="30"/>
            </w:pPr>
            <w:r>
              <w:rPr>
                <w:rFonts w:ascii="Arial" w:cs="Arial" w:eastAsia="Arial" w:hAnsi="Arial"/>
                <w:color w:val="000000"/>
                <w:sz w:val="19"/>
                <w:szCs w:val="19"/>
              </w:rPr>
              <w:t xml:space="preserve">Resilience, adaptability, and a calm presence under pressure</w:t>
            </w:r>
          </w:p>
          <w:p>
            <w:pPr>
              <w:pStyle w:val="ListParagraph"/>
              <w:numPr>
                <w:ilvl w:val="0"/>
                <w:numId w:val="2"/>
              </w:numPr>
              <w:spacing w:after="30" w:before="30"/>
            </w:pPr>
            <w:r>
              <w:rPr>
                <w:rFonts w:ascii="Arial" w:cs="Arial" w:eastAsia="Arial" w:hAnsi="Arial"/>
                <w:color w:val="000000"/>
                <w:sz w:val="19"/>
                <w:szCs w:val="19"/>
              </w:rPr>
              <w:t xml:space="preserve">Ambition: a desire to grow professionally and contribute to something excellent</w:t>
            </w:r>
          </w:p>
          <w:p>
            <w:pPr>
              <w:pStyle w:val="ListParagraph"/>
              <w:numPr>
                <w:ilvl w:val="0"/>
                <w:numId w:val="2"/>
              </w:numPr>
              <w:spacing w:after="30" w:before="30"/>
            </w:pPr>
            <w:r>
              <w:rPr>
                <w:rFonts w:ascii="Arial" w:cs="Arial" w:eastAsia="Arial" w:hAnsi="Arial"/>
                <w:color w:val="000000"/>
                <w:sz w:val="19"/>
                <w:szCs w:val="19"/>
              </w:rPr>
              <w:t xml:space="preserve">Collaborative spirit and commitment to team working</w:t>
            </w:r>
          </w:p>
          <w:p>
            <w:pPr>
              <w:pStyle w:val="ListParagraph"/>
              <w:numPr>
                <w:ilvl w:val="0"/>
                <w:numId w:val="2"/>
              </w:numPr>
              <w:spacing w:after="30" w:before="30"/>
            </w:pPr>
            <w:r>
              <w:rPr>
                <w:rFonts w:ascii="Arial" w:cs="Arial" w:eastAsia="Arial" w:hAnsi="Arial"/>
                <w:color w:val="000000"/>
                <w:sz w:val="19"/>
                <w:szCs w:val="19"/>
              </w:rPr>
              <w:t xml:space="preserve">Commitment to the school’s ethos, values, and inclusive culture</w:t>
            </w:r>
          </w:p>
        </w:tc>
        <w:tc>
          <w:tcPr>
            <w:tcW w:type="dxa" w:w="3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Interest in contributing to the school’s outward-facing work (research, networks, regional leadership)</w:t>
            </w:r>
          </w:p>
          <w:p>
            <w:pPr>
              <w:pStyle w:val="ListParagraph"/>
              <w:numPr>
                <w:ilvl w:val="0"/>
                <w:numId w:val="2"/>
              </w:numPr>
              <w:spacing w:after="30" w:before="30"/>
            </w:pPr>
            <w:r>
              <w:rPr>
                <w:rFonts w:ascii="Arial" w:cs="Arial" w:eastAsia="Arial" w:hAnsi="Arial"/>
                <w:color w:val="000000"/>
                <w:sz w:val="19"/>
                <w:szCs w:val="19"/>
              </w:rPr>
              <w:t xml:space="preserve">Aspiration for leadership, whether pastoral, curriculum, or specialist</w:t>
            </w:r>
          </w:p>
        </w:tc>
      </w:tr>
      <w:tr>
        <w:tc>
          <w:tcPr>
            <w:tcW w:type="dxa" w:w="20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Safeguarding</w:t>
            </w:r>
          </w:p>
        </w:tc>
        <w:tc>
          <w:tcPr>
            <w:tcW w:type="dxa" w:w="3700"/>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pPr>
              <w:pStyle w:val="ListParagraph"/>
              <w:numPr>
                <w:ilvl w:val="0"/>
                <w:numId w:val="2"/>
              </w:numPr>
              <w:spacing w:after="30" w:before="30"/>
            </w:pPr>
            <w:r>
              <w:rPr>
                <w:rFonts w:ascii="Arial" w:cs="Arial" w:eastAsia="Arial" w:hAnsi="Arial"/>
                <w:color w:val="000000"/>
                <w:sz w:val="19"/>
                <w:szCs w:val="19"/>
              </w:rPr>
              <w:t xml:space="preserve">Commitment to safeguarding and promoting the welfare of all children</w:t>
            </w:r>
          </w:p>
          <w:p>
            <w:pPr>
              <w:pStyle w:val="ListParagraph"/>
              <w:numPr>
                <w:ilvl w:val="0"/>
                <w:numId w:val="2"/>
              </w:numPr>
              <w:spacing w:after="30" w:before="30"/>
            </w:pPr>
            <w:r>
              <w:rPr>
                <w:rFonts w:ascii="Arial" w:cs="Arial" w:eastAsia="Arial" w:hAnsi="Arial"/>
                <w:color w:val="000000"/>
                <w:sz w:val="19"/>
                <w:szCs w:val="19"/>
              </w:rPr>
              <w:t xml:space="preserve">Willingness to complete all required safeguarding training</w:t>
            </w:r>
          </w:p>
          <w:p>
            <w:pPr>
              <w:pStyle w:val="ListParagraph"/>
              <w:numPr>
                <w:ilvl w:val="0"/>
                <w:numId w:val="2"/>
              </w:numPr>
              <w:spacing w:after="30" w:before="30"/>
            </w:pPr>
            <w:r>
              <w:rPr>
                <w:rFonts w:ascii="Arial" w:cs="Arial" w:eastAsia="Arial" w:hAnsi="Arial"/>
                <w:color w:val="000000"/>
                <w:sz w:val="19"/>
                <w:szCs w:val="19"/>
              </w:rPr>
              <w:t xml:space="preserve">Enhanced DBS clearance (or willingness to obtain)</w:t>
            </w:r>
          </w:p>
        </w:tc>
        <w:tc>
          <w:tcPr>
            <w:tcW w:type="dxa" w:w="3326"/>
            <w:tcBorders>
              <w:top w:val="single" w:color="cccccc" w:sz="1"/>
              <w:left w:val="single" w:color="cccccc" w:sz="1"/>
              <w:bottom w:val="single" w:color="cccccc" w:sz="1"/>
              <w:right w:val="single" w:color="cccccc" w:sz="1"/>
            </w:tcBorders>
            <w:shd w:fill="d6ead0" w:val="clear"/>
            <w:tcMar>
              <w:top w:type="dxa" w:w="80"/>
              <w:left w:type="dxa" w:w="120"/>
              <w:bottom w:type="dxa" w:w="80"/>
              <w:right w:type="dxa" w:w="120"/>
            </w:tcMar>
          </w:tcPr>
          <w:p>
            <w:r>
              <w:rPr>
                <w:rFonts w:ascii="Arial" w:cs="Arial" w:eastAsia="Arial" w:hAnsi="Arial"/>
                <w:color w:val="aaaaaa"/>
                <w:sz w:val="19"/>
                <w:szCs w:val="19"/>
              </w:rPr>
              <w:t xml:space="preserve">—</w:t>
            </w:r>
          </w:p>
        </w:tc>
      </w:tr>
    </w:tbl>
    <w:p>
      <w:pPr>
        <w:spacing w:after="20" w:before="120"/>
      </w:pPr>
      <w:r>
        <w:t xml:space="preserve"/>
      </w:r>
    </w:p>
    <w:p>
      <w:pPr>
        <w:spacing w:after="40" w:before="60"/>
      </w:pPr>
      <w:r>
        <w:rPr>
          <w:rFonts w:ascii="Arial" w:cs="Arial" w:eastAsia="Arial" w:hAnsi="Arial"/>
          <w:i/>
          <w:iCs/>
          <w:color w:val="666666"/>
          <w:sz w:val="17"/>
          <w:szCs w:val="17"/>
        </w:rPr>
        <w:t xml:space="preserve">Freshfield Primary School is committed to safeguarding and promoting the welfare of children and young people and expects all staff and volunteers to share this commitment. All posts are subject to an enhanced DBS check.</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ad0" w:sz="4" w:space="1"/>
      </w:pBdr>
      <w:spacing w:before="60"/>
    </w:pPr>
    <w:r>
      <w:rPr>
        <w:rFonts w:ascii="Arial" w:cs="Arial" w:eastAsia="Arial" w:hAnsi="Arial"/>
        <w:color w:val="2d7a4f"/>
        <w:sz w:val="16"/>
        <w:szCs w:val="16"/>
      </w:rPr>
      <w:t xml:space="preserve">recruitment@freshfieldprimary.co.uk</w:t>
    </w:r>
    <w:r>
      <w:rPr>
        <w:rFonts w:ascii="Arial" w:cs="Arial" w:eastAsia="Arial" w:hAnsi="Arial"/>
        <w:color w:val="888888"/>
        <w:sz w:val="16"/>
        <w:szCs w:val="16"/>
      </w:rPr>
      <w:t xml:space="preserve">     Freshfield Primary School, Formby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6ead0" w:sz="6" w:space="1"/>
      </w:pBdr>
      <w:spacing w:after="60"/>
      <w:jc w:val="left"/>
    </w:pPr>
    <w:r>
      <w:rPr>
        <w:rFonts w:ascii="Arial" w:cs="Arial" w:eastAsia="Arial" w:hAnsi="Arial"/>
        <w:b/>
        <w:bCs/>
        <w:color w:val="1a5c38"/>
        <w:sz w:val="20"/>
        <w:szCs w:val="20"/>
      </w:rPr>
      <w:t xml:space="preserve">Freshfield Primary School</w:t>
    </w:r>
    <w:r>
      <w:rPr>
        <w:rFonts w:ascii="Arial" w:cs="Arial" w:eastAsia="Arial" w:hAnsi="Arial"/>
        <w:color w:val="2d7a4f"/>
        <w:sz w:val="18"/>
        <w:szCs w:val="18"/>
      </w:rPr>
      <w:t xml:space="preserve">   |   </w:t>
    </w:r>
    <w:r>
      <w:rPr>
        <w:rFonts w:ascii="Arial" w:cs="Arial" w:eastAsia="Arial" w:hAnsi="Arial"/>
        <w:color w:val="2d7a4f"/>
        <w:sz w:val="18"/>
        <w:szCs w:val="18"/>
      </w:rPr>
      <w:t xml:space="preserve">Class Teacher — Person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2026-05-13T09:37:04.600Z</dcterms:created>
  <dcterms:modified xsi:type="dcterms:W3CDTF">2026-05-13T09:37:04.600Z</dcterms:modified>
</cp:coreProperties>
</file>

<file path=docProps/custom.xml><?xml version="1.0" encoding="utf-8"?>
<Properties xmlns="http://schemas.openxmlformats.org/officeDocument/2006/custom-properties" xmlns:vt="http://schemas.openxmlformats.org/officeDocument/2006/docPropsVTypes"/>
</file>