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59" w:lineRule="auto"/>
        <w:ind w:left="-5" w:right="1239" w:hanging="10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LONDON BOROUGH OF HACKNEY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3513596</wp:posOffset>
            </wp:positionH>
            <wp:positionV relativeFrom="paragraph">
              <wp:posOffset>60960</wp:posOffset>
            </wp:positionV>
            <wp:extent cx="1773936" cy="432816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4328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spacing w:after="200" w:line="259" w:lineRule="auto"/>
        <w:ind w:right="276"/>
        <w:jc w:val="right"/>
        <w:rPr/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5772150" cy="46672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466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fffff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jc w:val="left"/>
        <w:rPr>
          <w:color w:val="1b1c1d"/>
          <w:sz w:val="22"/>
          <w:szCs w:val="22"/>
        </w:rPr>
      </w:pPr>
      <w:r w:rsidDel="00000000" w:rsidR="00000000" w:rsidRPr="00000000">
        <w:rPr>
          <w:color w:val="1b1c1d"/>
          <w:sz w:val="22"/>
          <w:szCs w:val="22"/>
          <w:rtl w:val="0"/>
        </w:rPr>
        <w:t xml:space="preserve">Community Gangs Team (CGT) Community Delivery Coordinator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  <w:color w:val="1b1c1d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color w:val="1b1c1d"/>
                <w:shd w:fill="auto" w:val="clear"/>
                <w:rtl w:val="0"/>
              </w:rPr>
              <w:t xml:space="preserve">Detail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  <w:color w:val="1b1c1d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color w:val="1b1c1d"/>
                <w:shd w:fill="auto" w:val="clear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  <w:color w:val="1b1c1d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color w:val="1b1c1d"/>
                <w:shd w:fill="auto" w:val="clear"/>
                <w:rtl w:val="0"/>
              </w:rPr>
              <w:t xml:space="preserve">Post Title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color w:val="1b1c1d"/>
                <w:shd w:fill="auto" w:val="clear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CGT Community Delivery Coordinator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  <w:color w:val="1b1c1d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0"/>
              </w:rPr>
              <w:t xml:space="preserve">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color w:val="1b1c1d"/>
                <w:shd w:fill="auto" w:val="clear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PO1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  <w:color w:val="1b1c1d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color w:val="1b1c1d"/>
                <w:shd w:fill="auto" w:val="clear"/>
                <w:rtl w:val="0"/>
              </w:rPr>
              <w:t xml:space="preserve">Service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color w:val="444746"/>
                <w:vertAlign w:val="superscript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Community Safety, Enforcement and Business Regulation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color w:val="444746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  <w:color w:val="1b1c1d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0"/>
              </w:rPr>
              <w:t xml:space="preserve">Directorate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Housing, Climate and Economy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  <w:color w:val="1b1c1d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color w:val="1b1c1d"/>
                <w:shd w:fill="auto" w:val="clear"/>
                <w:rtl w:val="0"/>
              </w:rPr>
              <w:t xml:space="preserve">Location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color w:val="444746"/>
                <w:vertAlign w:val="superscript"/>
              </w:rPr>
            </w:pPr>
            <w:r w:rsidDel="00000000" w:rsidR="00000000" w:rsidRPr="00000000">
              <w:rPr>
                <w:color w:val="1b1c1d"/>
                <w:shd w:fill="auto" w:val="clear"/>
                <w:rtl w:val="0"/>
              </w:rPr>
              <w:t xml:space="preserve">Within the London Borough of Hackney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color w:val="444746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  <w:color w:val="1b1c1d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color w:val="1b1c1d"/>
                <w:shd w:fill="auto" w:val="clear"/>
                <w:rtl w:val="0"/>
              </w:rPr>
              <w:t xml:space="preserve">Responsible 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color w:val="444746"/>
                <w:vertAlign w:val="superscript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Gangs &amp; Serious Violence Reduction Manager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5.9999942779541" w:lineRule="auto"/>
              <w:rPr>
                <w:color w:val="444746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>
          <w:color w:val="444746"/>
          <w:vertAlign w:val="superscrip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color w:val="1b1c1d"/>
          <w:sz w:val="22"/>
          <w:szCs w:val="22"/>
        </w:rPr>
      </w:pPr>
      <w:r w:rsidDel="00000000" w:rsidR="00000000" w:rsidRPr="00000000">
        <w:rPr>
          <w:color w:val="1b1c1d"/>
          <w:sz w:val="22"/>
          <w:szCs w:val="22"/>
          <w:rtl w:val="0"/>
        </w:rPr>
        <w:t xml:space="preserve">Purpose of the Role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The principal role of the CGT Community Delivery Officer is to lead, manage, and deliver the hyperlocalised community place-based projects and initiatives designed to proactively reduce crime, anti-social behaviour (ASB), and serious gang and youth violence across Hackney.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The post holder will be responsible for end-to-end project management, ensuring successful delivery within agreed timescales and budgets, and driving multi-agency collaboration to empower the community and sustain long-term safety improvements.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i w:val="0"/>
          <w:iCs w:val="0"/>
          <w:color w:val="1b1c1d"/>
          <w:sz w:val="22"/>
          <w:szCs w:val="22"/>
        </w:rPr>
      </w:pPr>
      <w:r w:rsidDel="00000000" w:rsidR="00000000" w:rsidRPr="00000000">
        <w:rPr>
          <w:color w:val="1b1c1d"/>
          <w:sz w:val="22"/>
          <w:szCs w:val="22"/>
          <w:rtl w:val="0"/>
        </w:rPr>
        <w:t xml:space="preserve">Main Areas of Responsibility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Lead on the development, management, and coordination of multi-agency hyperlocalised community place-based projects and community initiatives focused on violence reduction and community safety in identified hotspot areas.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Create, maintain, and own comprehensive project documentation, action plans, and key performance indicators (KPIs) to effectively measure qualitative and quantitative project performance and outcomes.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Ensure all projects are delivered safely and efficiently, with particular attention to risk assessment, mitigation strategies, and gang-related safety considerations.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Proactively manage input and expectations from diverse statutory and community partners, including the Metropolitan Police Service, Probation Service, Youth Offending Service, Housing Services, and community organisations.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Coordinate internal LBH departments and external agencies to ensure cohesive, multi-disciplinary delivery against project objectives.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Develop and maintain a comprehensive community-wide network of contacts, stakeholders, and providers to facilitate the development and successful delivery of projects.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Act as a key point of contact for project-specific community networks, developing effective communication methods to inform them of serious violence trends and empower them to undertake preventative action.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Conduct community consultation at project initiation and conclusion to inform design and measure success and impact.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Develop and implement an immediate community response plan in the event of a serious violent incident that impacts an ongoing project or initiative.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Prepare and present reports, briefings, and presentations related to project outcomes, recommendations, and intelligence to senior managers, councillors, the Mayor, and external boards (e.g., Gangs &amp; Serious Violence Reduction Board).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Support the development and implementation of the CGT social media communications strategy, exploring avenues (blogs, etc.) to promote projects and enhance the reputation of LBH and partners.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Attend and contribute to relevant strategic and operational meetings to maintain a comprehensive working knowledge of crime, ASB, and serious violence trends.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Create and manage profile documents for individuals engaged through project delivery, maintaining accurate activity logs and referral pathways.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ind w:left="0" w:firstLine="0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120" w:line="275.9999942779541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/>
      </w:pPr>
      <w:r w:rsidDel="00000000" w:rsidR="00000000" w:rsidRPr="00000000">
        <w:rPr>
          <w:color w:val="1b1c1d"/>
          <w:sz w:val="22"/>
          <w:szCs w:val="22"/>
          <w:rtl w:val="0"/>
        </w:rPr>
        <w:t xml:space="preserve">Communicating Effectively, Influencing And Negotiating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Highly developed oral, written, and presentational skills, with the ability to convey complex information clearly to diverse audiences (from community members to senior leadership).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Proven ability to establish positive relationships with partners, generating confidence and respect, and effectively influencing and negotiating outcomes across multi-agency environments.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Experience of working in partnership, recognising and taking account of organisational differences in structure and working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120" w:line="275.9999942779541" w:lineRule="auto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b w:val="1"/>
          <w:bCs w:val="1"/>
          <w:i w:val="0"/>
          <w:iCs w:val="0"/>
          <w:color w:val="1b1c1d"/>
        </w:rPr>
      </w:pPr>
      <w:r w:rsidDel="00000000" w:rsidR="00000000" w:rsidRPr="00000000">
        <w:rPr>
          <w:color w:val="1b1c1d"/>
          <w:sz w:val="22"/>
          <w:szCs w:val="22"/>
          <w:rtl w:val="0"/>
        </w:rPr>
        <w:t xml:space="preserve">Decision Making, Creative Thinking And Financial Awareness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Ability to work autonomously, prioritise a complex workload, and meet specific project deadlines while maintaining focus on key service priorities.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Experience in supporting innovative and creative projects, proactively seeking new and effective ways of tackling crime and violence.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Demonstrated ability to ensure all projects are delivered in line with overarching objectives, with a strong focus on the value and efficient use of public funds.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5.9999942779541" w:lineRule="auto"/>
        <w:ind w:left="0" w:firstLine="0"/>
        <w:rPr>
          <w:b w:val="1"/>
          <w:bCs w:val="1"/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b w:val="1"/>
          <w:bCs w:val="1"/>
          <w:color w:val="1b1c1d"/>
          <w:rtl w:val="0"/>
        </w:rPr>
        <w:t xml:space="preserve">Personal Style And Behaviours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12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Personal and professional demeanour which generates credibility and confidence amongst all key internal and external stakeholders.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0" w:before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Strong commitment to acquiring new skills and continuous professional development.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120" w:before="0" w:before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Ability to communicate confidently and assertively in line with established Council policies and priorities.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>
          <w:rFonts w:ascii="Open Sans" w:cs="Open Sans" w:eastAsia="Open Sans" w:hAnsi="Open Sans"/>
          <w:color w:val="545454"/>
          <w:sz w:val="23"/>
          <w:szCs w:val="23"/>
          <w:shd w:fill="ededed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724145" cy="469392"/>
            <wp:effectExtent b="0" l="0" r="0" t="0"/>
            <wp:wrapTopAndBottom distB="0" dist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4145" cy="4693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>
          <w:rFonts w:ascii="Open Sans" w:cs="Open Sans" w:eastAsia="Open Sans" w:hAnsi="Open Sans"/>
          <w:b w:val="1"/>
          <w:bCs w:val="1"/>
          <w:sz w:val="29"/>
          <w:szCs w:val="29"/>
          <w:shd w:fill="ededed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9"/>
          <w:szCs w:val="29"/>
          <w:shd w:fill="ededed" w:val="clear"/>
          <w:rtl w:val="0"/>
        </w:rPr>
        <w:t xml:space="preserve">CGT Community Delivery Officer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75.9999942779541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0"/>
        </w:rPr>
        <w:t xml:space="preserve">Qualifications, Experience And Knowledge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75.9999942779541" w:lineRule="auto"/>
        <w:ind w:left="720" w:hanging="360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Essential experience in project or programme management within a high-risk operational environment (e.g., community safety, criminal justice, crime reduction or youth justice).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720" w:hanging="360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Essential knowledge of gangs and serious youth violence dynamics within an urban setting (Hackney knowledge desirable).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720" w:hanging="360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Desirable: Formal project management accreditation or similar experience.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720" w:hanging="360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Experience of Multi-Agency working and knowledge of the roles of key statutory and non-statutory partners (Police, Probation, Youth Offending, Health).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720" w:hanging="360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Working knowledge of information sharing and data protection principles.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720" w:hanging="360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Essential IT competence in Google Docs/Sheets or MS Office Suite for project management, reporting, and administration.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The post holder will be required to undergo relevant security/vetting checks (e.g., DBS check, Counter Terrorism Check, NPPV2) to facilitate access to Police and other Partner data.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Occasional requirement to work outside of 'normal office hours' to facilitate community meetings or project delivery (e.g., shift change/overtime or weekend work).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color w:val="1b1c1d"/>
          <w:rtl w:val="0"/>
        </w:rPr>
        <w:t xml:space="preserve">Adherence to the Council’s Diversity &amp; Equality and Health and Safety Policies.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