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B1C1" w14:textId="04DB7397" w:rsidR="00966187" w:rsidRPr="00D854E8" w:rsidRDefault="00966187">
      <w:pPr>
        <w:rPr>
          <w:rFonts w:ascii="Arial" w:hAnsi="Arial" w:cs="Arial"/>
        </w:rPr>
      </w:pPr>
    </w:p>
    <w:tbl>
      <w:tblPr>
        <w:tblStyle w:val="TableGrid"/>
        <w:tblpPr w:leftFromText="180" w:rightFromText="180" w:vertAnchor="text" w:tblpX="-856" w:tblpY="1"/>
        <w:tblOverlap w:val="never"/>
        <w:tblW w:w="0" w:type="auto"/>
        <w:shd w:val="clear" w:color="auto" w:fill="262626" w:themeFill="text1" w:themeFillTint="D9"/>
        <w:tblLook w:val="04A0" w:firstRow="1" w:lastRow="0" w:firstColumn="1" w:lastColumn="0" w:noHBand="0" w:noVBand="1"/>
      </w:tblPr>
      <w:tblGrid>
        <w:gridCol w:w="9640"/>
      </w:tblGrid>
      <w:tr w:rsidR="006D5D5D" w:rsidRPr="00D854E8" w14:paraId="107EA49D" w14:textId="77777777" w:rsidTr="00140E1E">
        <w:trPr>
          <w:trHeight w:val="845"/>
        </w:trPr>
        <w:tc>
          <w:tcPr>
            <w:tcW w:w="9640" w:type="dxa"/>
            <w:tcBorders>
              <w:top w:val="nil"/>
              <w:left w:val="nil"/>
              <w:bottom w:val="nil"/>
              <w:right w:val="nil"/>
            </w:tcBorders>
            <w:shd w:val="clear" w:color="auto" w:fill="6F2277"/>
            <w:vAlign w:val="center"/>
          </w:tcPr>
          <w:p w14:paraId="1E99E1F8" w14:textId="77777777" w:rsidR="00D63D82" w:rsidRPr="00D854E8" w:rsidRDefault="00D63D82" w:rsidP="005858F7">
            <w:pPr>
              <w:jc w:val="center"/>
              <w:rPr>
                <w:rFonts w:ascii="Arial" w:hAnsi="Arial" w:cs="Arial"/>
                <w:b/>
                <w:bCs/>
                <w:sz w:val="36"/>
                <w:szCs w:val="36"/>
              </w:rPr>
            </w:pPr>
            <w:r w:rsidRPr="00D854E8">
              <w:rPr>
                <w:rFonts w:ascii="Arial" w:hAnsi="Arial" w:cs="Arial"/>
                <w:b/>
                <w:bCs/>
                <w:color w:val="FFFFFF" w:themeColor="background1"/>
                <w:sz w:val="36"/>
                <w:szCs w:val="36"/>
              </w:rPr>
              <w:t>Job Description</w:t>
            </w:r>
          </w:p>
        </w:tc>
      </w:tr>
    </w:tbl>
    <w:p w14:paraId="2E7069D0" w14:textId="724C9B6A" w:rsidR="001C1887" w:rsidRPr="00D854E8" w:rsidRDefault="00D116C3" w:rsidP="001C1887">
      <w:pPr>
        <w:rPr>
          <w:rFonts w:ascii="Arial" w:hAnsi="Arial" w:cs="Arial"/>
        </w:rPr>
      </w:pPr>
      <w:r w:rsidRPr="00D854E8">
        <w:rPr>
          <w:rFonts w:ascii="Arial" w:hAnsi="Arial" w:cs="Arial"/>
          <w:noProof/>
          <w:color w:val="2B579A"/>
          <w:sz w:val="17"/>
          <w:szCs w:val="17"/>
          <w:shd w:val="clear" w:color="auto" w:fill="E6E6E6"/>
        </w:rPr>
        <w:drawing>
          <wp:anchor distT="0" distB="0" distL="114300" distR="114300" simplePos="0" relativeHeight="251658241" behindDoc="0" locked="0" layoutInCell="1" allowOverlap="1" wp14:anchorId="7FF3353A" wp14:editId="7ED2B4A7">
            <wp:simplePos x="0" y="0"/>
            <wp:positionH relativeFrom="column">
              <wp:posOffset>5787929</wp:posOffset>
            </wp:positionH>
            <wp:positionV relativeFrom="paragraph">
              <wp:posOffset>-199042</wp:posOffset>
            </wp:positionV>
            <wp:extent cx="949325" cy="1054735"/>
            <wp:effectExtent l="0" t="0" r="3175" b="0"/>
            <wp:wrapNone/>
            <wp:docPr id="3" name="Picture 3">
              <a:extLst xmlns:a="http://schemas.openxmlformats.org/drawingml/2006/main">
                <a:ext uri="{FF2B5EF4-FFF2-40B4-BE49-F238E27FC236}">
                  <a16:creationId xmlns:a16="http://schemas.microsoft.com/office/drawing/2014/main" id="{7BC53683-CDF1-676C-7883-00828E17F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BC53683-CDF1-676C-7883-00828E17FB66}"/>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49325" cy="1054735"/>
                    </a:xfrm>
                    <a:prstGeom prst="rect">
                      <a:avLst/>
                    </a:prstGeom>
                  </pic:spPr>
                </pic:pic>
              </a:graphicData>
            </a:graphic>
            <wp14:sizeRelH relativeFrom="margin">
              <wp14:pctWidth>0</wp14:pctWidth>
            </wp14:sizeRelH>
            <wp14:sizeRelV relativeFrom="margin">
              <wp14:pctHeight>0</wp14:pctHeight>
            </wp14:sizeRelV>
          </wp:anchor>
        </w:drawing>
      </w:r>
    </w:p>
    <w:p w14:paraId="3C1D96D5" w14:textId="77777777" w:rsidR="00F54A77" w:rsidRPr="00D854E8" w:rsidRDefault="00F54A77" w:rsidP="00F54A77">
      <w:pPr>
        <w:rPr>
          <w:rFonts w:ascii="Arial" w:hAnsi="Arial" w:cs="Arial"/>
        </w:rPr>
      </w:pPr>
    </w:p>
    <w:p w14:paraId="5328846E" w14:textId="77777777" w:rsidR="00F54A77" w:rsidRPr="00D854E8" w:rsidRDefault="00F54A77" w:rsidP="00F54A77">
      <w:pPr>
        <w:rPr>
          <w:rFonts w:ascii="Arial" w:hAnsi="Arial" w:cs="Arial"/>
        </w:rPr>
      </w:pPr>
    </w:p>
    <w:p w14:paraId="712A832D" w14:textId="77777777" w:rsidR="00F54A77" w:rsidRPr="00D854E8" w:rsidRDefault="00F54A77" w:rsidP="00F54A77">
      <w:pPr>
        <w:rPr>
          <w:rFonts w:ascii="Arial" w:hAnsi="Arial" w:cs="Arial"/>
          <w:sz w:val="8"/>
          <w:szCs w:val="8"/>
        </w:rPr>
      </w:pPr>
    </w:p>
    <w:tbl>
      <w:tblPr>
        <w:tblStyle w:val="TableGrid"/>
        <w:tblW w:w="10429" w:type="dxa"/>
        <w:tblLook w:val="04A0" w:firstRow="1" w:lastRow="0" w:firstColumn="1" w:lastColumn="0" w:noHBand="0" w:noVBand="1"/>
      </w:tblPr>
      <w:tblGrid>
        <w:gridCol w:w="3047"/>
        <w:gridCol w:w="7382"/>
      </w:tblGrid>
      <w:tr w:rsidR="006D5D5D" w:rsidRPr="00D854E8" w14:paraId="2B1B93B9" w14:textId="77777777" w:rsidTr="00CE4BBD">
        <w:trPr>
          <w:trHeight w:val="397"/>
        </w:trPr>
        <w:tc>
          <w:tcPr>
            <w:tcW w:w="3047" w:type="dxa"/>
            <w:shd w:val="clear" w:color="auto" w:fill="EADDC3"/>
            <w:vAlign w:val="center"/>
          </w:tcPr>
          <w:p w14:paraId="5DAF7F57" w14:textId="77777777" w:rsidR="00F54A77" w:rsidRPr="00D854E8" w:rsidRDefault="00F54A77" w:rsidP="005858F7">
            <w:pPr>
              <w:rPr>
                <w:rFonts w:ascii="Arial" w:hAnsi="Arial" w:cs="Arial"/>
                <w:b/>
                <w:bCs/>
              </w:rPr>
            </w:pPr>
            <w:r w:rsidRPr="00D854E8">
              <w:rPr>
                <w:rFonts w:ascii="Arial" w:hAnsi="Arial" w:cs="Arial"/>
                <w:b/>
                <w:bCs/>
              </w:rPr>
              <w:t>JOB TITLE</w:t>
            </w:r>
          </w:p>
        </w:tc>
        <w:tc>
          <w:tcPr>
            <w:tcW w:w="7382" w:type="dxa"/>
            <w:vAlign w:val="center"/>
          </w:tcPr>
          <w:p w14:paraId="30B50207" w14:textId="601F2376" w:rsidR="00F54A77" w:rsidRPr="00D854E8" w:rsidRDefault="0079398C" w:rsidP="005858F7">
            <w:pPr>
              <w:rPr>
                <w:rFonts w:ascii="Arial" w:hAnsi="Arial" w:cs="Arial"/>
              </w:rPr>
            </w:pPr>
            <w:r w:rsidRPr="00D854E8">
              <w:rPr>
                <w:rFonts w:ascii="Arial" w:hAnsi="Arial" w:cs="Arial"/>
              </w:rPr>
              <w:t>Property Services Officer</w:t>
            </w:r>
          </w:p>
        </w:tc>
      </w:tr>
      <w:tr w:rsidR="003D46D7" w:rsidRPr="00D854E8" w14:paraId="78BE2862" w14:textId="77777777" w:rsidTr="00CE4BBD">
        <w:trPr>
          <w:trHeight w:val="397"/>
        </w:trPr>
        <w:tc>
          <w:tcPr>
            <w:tcW w:w="3047" w:type="dxa"/>
            <w:shd w:val="clear" w:color="auto" w:fill="EADDC3"/>
            <w:vAlign w:val="center"/>
          </w:tcPr>
          <w:p w14:paraId="3F5C4B50" w14:textId="77777777" w:rsidR="003D46D7" w:rsidRPr="00D854E8" w:rsidRDefault="003D46D7" w:rsidP="003D46D7">
            <w:pPr>
              <w:rPr>
                <w:rFonts w:ascii="Arial" w:hAnsi="Arial" w:cs="Arial"/>
                <w:b/>
                <w:bCs/>
              </w:rPr>
            </w:pPr>
            <w:r w:rsidRPr="00D854E8">
              <w:rPr>
                <w:rFonts w:ascii="Arial" w:hAnsi="Arial" w:cs="Arial"/>
                <w:b/>
                <w:bCs/>
              </w:rPr>
              <w:t>REPORTS TO</w:t>
            </w:r>
          </w:p>
        </w:tc>
        <w:tc>
          <w:tcPr>
            <w:tcW w:w="7382" w:type="dxa"/>
            <w:vAlign w:val="center"/>
          </w:tcPr>
          <w:p w14:paraId="52C2081D" w14:textId="460EBBF4" w:rsidR="003D46D7" w:rsidRPr="00D854E8" w:rsidRDefault="00CC7369" w:rsidP="003D46D7">
            <w:pPr>
              <w:rPr>
                <w:rFonts w:ascii="Arial" w:hAnsi="Arial" w:cs="Arial"/>
              </w:rPr>
            </w:pPr>
            <w:r w:rsidRPr="00D854E8">
              <w:rPr>
                <w:rFonts w:ascii="Arial" w:hAnsi="Arial" w:cs="Arial"/>
              </w:rPr>
              <w:t>Compliance &amp; Contracts Manager</w:t>
            </w:r>
          </w:p>
        </w:tc>
      </w:tr>
      <w:tr w:rsidR="003D46D7" w:rsidRPr="00D854E8" w14:paraId="4FFEF5A1" w14:textId="77777777" w:rsidTr="00CE4BBD">
        <w:trPr>
          <w:trHeight w:val="397"/>
        </w:trPr>
        <w:tc>
          <w:tcPr>
            <w:tcW w:w="3047" w:type="dxa"/>
            <w:shd w:val="clear" w:color="auto" w:fill="EADDC3"/>
            <w:vAlign w:val="center"/>
          </w:tcPr>
          <w:p w14:paraId="3E7038ED" w14:textId="08A6D57A" w:rsidR="003D46D7" w:rsidRPr="00D854E8" w:rsidRDefault="003D46D7" w:rsidP="003D46D7">
            <w:pPr>
              <w:rPr>
                <w:rFonts w:ascii="Arial" w:hAnsi="Arial" w:cs="Arial"/>
                <w:b/>
                <w:bCs/>
              </w:rPr>
            </w:pPr>
            <w:r w:rsidRPr="00D854E8">
              <w:rPr>
                <w:rFonts w:ascii="Arial" w:hAnsi="Arial" w:cs="Arial"/>
                <w:b/>
                <w:bCs/>
              </w:rPr>
              <w:t>DIRECT REPORTS</w:t>
            </w:r>
          </w:p>
        </w:tc>
        <w:tc>
          <w:tcPr>
            <w:tcW w:w="7382" w:type="dxa"/>
            <w:vAlign w:val="center"/>
          </w:tcPr>
          <w:p w14:paraId="7244AF1E" w14:textId="1E6DB108" w:rsidR="003D46D7" w:rsidRPr="00D854E8" w:rsidRDefault="00A33C8B" w:rsidP="003D46D7">
            <w:pPr>
              <w:rPr>
                <w:rFonts w:ascii="Arial" w:hAnsi="Arial" w:cs="Arial"/>
              </w:rPr>
            </w:pPr>
            <w:r w:rsidRPr="00D854E8">
              <w:rPr>
                <w:rFonts w:ascii="Arial" w:hAnsi="Arial" w:cs="Arial"/>
              </w:rPr>
              <w:t xml:space="preserve">None </w:t>
            </w:r>
          </w:p>
        </w:tc>
      </w:tr>
      <w:tr w:rsidR="003D46D7" w:rsidRPr="00D854E8" w14:paraId="52CBB5D2" w14:textId="77777777" w:rsidTr="00CE4BBD">
        <w:trPr>
          <w:trHeight w:val="397"/>
        </w:trPr>
        <w:tc>
          <w:tcPr>
            <w:tcW w:w="3047" w:type="dxa"/>
            <w:shd w:val="clear" w:color="auto" w:fill="EADDC3"/>
            <w:vAlign w:val="center"/>
          </w:tcPr>
          <w:p w14:paraId="204F91E8" w14:textId="7F94AD9D" w:rsidR="003D46D7" w:rsidRPr="00D854E8" w:rsidRDefault="003D46D7" w:rsidP="003D46D7">
            <w:pPr>
              <w:rPr>
                <w:rFonts w:ascii="Arial" w:hAnsi="Arial" w:cs="Arial"/>
                <w:b/>
                <w:bCs/>
              </w:rPr>
            </w:pPr>
            <w:r w:rsidRPr="00D854E8">
              <w:rPr>
                <w:rFonts w:ascii="Arial" w:hAnsi="Arial" w:cs="Arial"/>
                <w:b/>
                <w:bCs/>
              </w:rPr>
              <w:t>INDIRECT REPORTS</w:t>
            </w:r>
          </w:p>
        </w:tc>
        <w:tc>
          <w:tcPr>
            <w:tcW w:w="7382" w:type="dxa"/>
            <w:vAlign w:val="center"/>
          </w:tcPr>
          <w:p w14:paraId="279D261C" w14:textId="453F0EE5" w:rsidR="003D46D7" w:rsidRPr="00D854E8" w:rsidRDefault="00A33C8B" w:rsidP="003D46D7">
            <w:pPr>
              <w:rPr>
                <w:rFonts w:ascii="Arial" w:hAnsi="Arial" w:cs="Arial"/>
              </w:rPr>
            </w:pPr>
            <w:r w:rsidRPr="00D854E8">
              <w:rPr>
                <w:rFonts w:ascii="Arial" w:hAnsi="Arial" w:cs="Arial"/>
              </w:rPr>
              <w:t>None</w:t>
            </w:r>
          </w:p>
        </w:tc>
      </w:tr>
      <w:tr w:rsidR="00142471" w:rsidRPr="00D854E8" w14:paraId="3E3749AC" w14:textId="77777777" w:rsidTr="00CE4BBD">
        <w:trPr>
          <w:trHeight w:val="397"/>
        </w:trPr>
        <w:tc>
          <w:tcPr>
            <w:tcW w:w="3047" w:type="dxa"/>
            <w:tcBorders>
              <w:top w:val="single" w:sz="4" w:space="0" w:color="auto"/>
              <w:left w:val="nil"/>
              <w:bottom w:val="single" w:sz="4" w:space="0" w:color="auto"/>
              <w:right w:val="nil"/>
            </w:tcBorders>
            <w:vAlign w:val="center"/>
          </w:tcPr>
          <w:p w14:paraId="188B4AA0" w14:textId="77777777" w:rsidR="00142471" w:rsidRPr="00D854E8" w:rsidRDefault="00142471" w:rsidP="00142471">
            <w:pPr>
              <w:rPr>
                <w:rFonts w:ascii="Arial" w:hAnsi="Arial" w:cs="Arial"/>
                <w:b/>
                <w:bCs/>
              </w:rPr>
            </w:pPr>
          </w:p>
        </w:tc>
        <w:tc>
          <w:tcPr>
            <w:tcW w:w="7382" w:type="dxa"/>
            <w:tcBorders>
              <w:top w:val="single" w:sz="4" w:space="0" w:color="auto"/>
              <w:left w:val="nil"/>
              <w:bottom w:val="single" w:sz="4" w:space="0" w:color="auto"/>
              <w:right w:val="nil"/>
            </w:tcBorders>
            <w:vAlign w:val="center"/>
          </w:tcPr>
          <w:p w14:paraId="32BAAACD" w14:textId="77777777" w:rsidR="00142471" w:rsidRPr="00D854E8" w:rsidRDefault="00142471" w:rsidP="00142471">
            <w:pPr>
              <w:rPr>
                <w:rFonts w:ascii="Arial" w:hAnsi="Arial" w:cs="Arial"/>
              </w:rPr>
            </w:pPr>
          </w:p>
        </w:tc>
      </w:tr>
      <w:tr w:rsidR="00142471" w:rsidRPr="00D854E8" w14:paraId="55261336" w14:textId="77777777" w:rsidTr="00CE4BBD">
        <w:trPr>
          <w:trHeight w:val="397"/>
        </w:trPr>
        <w:tc>
          <w:tcPr>
            <w:tcW w:w="10429" w:type="dxa"/>
            <w:gridSpan w:val="2"/>
            <w:tcBorders>
              <w:top w:val="single" w:sz="4" w:space="0" w:color="auto"/>
              <w:bottom w:val="single" w:sz="4" w:space="0" w:color="auto"/>
            </w:tcBorders>
            <w:shd w:val="clear" w:color="auto" w:fill="EADDC3"/>
            <w:vAlign w:val="center"/>
          </w:tcPr>
          <w:p w14:paraId="6A122519" w14:textId="5082D649" w:rsidR="00142471" w:rsidRPr="00D854E8" w:rsidRDefault="00142471" w:rsidP="00E67033">
            <w:pPr>
              <w:rPr>
                <w:rFonts w:ascii="Arial" w:hAnsi="Arial" w:cs="Arial"/>
              </w:rPr>
            </w:pPr>
            <w:r w:rsidRPr="00D854E8">
              <w:rPr>
                <w:rFonts w:ascii="Arial" w:hAnsi="Arial" w:cs="Arial"/>
                <w:b/>
                <w:bCs/>
              </w:rPr>
              <w:t>PURPOSE OF THE JOB ROLE</w:t>
            </w:r>
          </w:p>
        </w:tc>
      </w:tr>
      <w:tr w:rsidR="00285C38" w:rsidRPr="00D854E8" w14:paraId="5CCCDCE3" w14:textId="77777777" w:rsidTr="00CE4BBD">
        <w:trPr>
          <w:trHeight w:val="207"/>
        </w:trPr>
        <w:tc>
          <w:tcPr>
            <w:tcW w:w="10429" w:type="dxa"/>
            <w:gridSpan w:val="2"/>
            <w:tcBorders>
              <w:top w:val="single" w:sz="4" w:space="0" w:color="auto"/>
              <w:bottom w:val="single" w:sz="4" w:space="0" w:color="auto"/>
            </w:tcBorders>
          </w:tcPr>
          <w:p w14:paraId="7BC8AE1F" w14:textId="7CD84861" w:rsidR="00285C38" w:rsidRPr="00D854E8" w:rsidRDefault="00865656" w:rsidP="00285C38">
            <w:pPr>
              <w:rPr>
                <w:rFonts w:ascii="Arial" w:hAnsi="Arial" w:cs="Arial"/>
              </w:rPr>
            </w:pPr>
            <w:r w:rsidRPr="00D854E8">
              <w:rPr>
                <w:rFonts w:ascii="Arial" w:hAnsi="Arial" w:cs="Arial"/>
              </w:rPr>
              <w:t>To provide accurate and professional financial administration in support of Property Services, Facilities and associated corporate estate activity. The role manages financial processing relating to repairs and maintenance including purchase orders, invoice processing, reconciliations and recharge arrangements, ensuring compliance with Financial Regulations and audit requirements. The post also supports the Commercial Asset Team through rental invoicing administration, maintaining tenant financial records and assisting with arrears monitoring and follow-up activity, contributing to strong governance, transparency and income assurance within the Corporate Landlord model.</w:t>
            </w:r>
          </w:p>
        </w:tc>
      </w:tr>
    </w:tbl>
    <w:p w14:paraId="4E23C9EE" w14:textId="4E069E48" w:rsidR="00CE4BBD" w:rsidRPr="00D854E8" w:rsidRDefault="00CE4BBD">
      <w:pPr>
        <w:rPr>
          <w:rFonts w:ascii="Arial" w:hAnsi="Arial" w:cs="Arial"/>
        </w:rPr>
      </w:pPr>
    </w:p>
    <w:tbl>
      <w:tblPr>
        <w:tblStyle w:val="TableGrid"/>
        <w:tblW w:w="10201" w:type="dxa"/>
        <w:tblLook w:val="04A0" w:firstRow="1" w:lastRow="0" w:firstColumn="1" w:lastColumn="0" w:noHBand="0" w:noVBand="1"/>
      </w:tblPr>
      <w:tblGrid>
        <w:gridCol w:w="4694"/>
        <w:gridCol w:w="5728"/>
      </w:tblGrid>
      <w:tr w:rsidR="00CE4BBD" w:rsidRPr="00D854E8" w14:paraId="57B66C12" w14:textId="77777777" w:rsidTr="00CE4BBD">
        <w:tc>
          <w:tcPr>
            <w:tcW w:w="10196" w:type="dxa"/>
            <w:gridSpan w:val="2"/>
            <w:tcBorders>
              <w:bottom w:val="single" w:sz="4" w:space="0" w:color="auto"/>
            </w:tcBorders>
            <w:shd w:val="clear" w:color="auto" w:fill="EADDC3"/>
          </w:tcPr>
          <w:p w14:paraId="75083A6D" w14:textId="76FFCB36" w:rsidR="00CE4BBD" w:rsidRPr="00D854E8" w:rsidRDefault="00CE4BBD" w:rsidP="00633CEC">
            <w:pPr>
              <w:rPr>
                <w:rFonts w:ascii="Arial" w:hAnsi="Arial" w:cs="Arial"/>
                <w:b/>
                <w:bCs/>
              </w:rPr>
            </w:pPr>
            <w:r w:rsidRPr="00D854E8">
              <w:rPr>
                <w:rFonts w:ascii="Arial" w:hAnsi="Arial" w:cs="Arial"/>
                <w:b/>
                <w:bCs/>
              </w:rPr>
              <w:t xml:space="preserve">POSITION WITHIN SERVICE STRUCTURE </w:t>
            </w:r>
          </w:p>
        </w:tc>
      </w:tr>
      <w:tr w:rsidR="00CE4BBD" w:rsidRPr="00D854E8" w14:paraId="5F4EF999" w14:textId="77777777" w:rsidTr="00CE4BBD">
        <w:trPr>
          <w:trHeight w:val="5806"/>
        </w:trPr>
        <w:tc>
          <w:tcPr>
            <w:tcW w:w="10196" w:type="dxa"/>
            <w:gridSpan w:val="2"/>
            <w:tcBorders>
              <w:bottom w:val="single" w:sz="4" w:space="0" w:color="auto"/>
            </w:tcBorders>
          </w:tcPr>
          <w:p w14:paraId="0C5CCDC7" w14:textId="2F7A97F1" w:rsidR="00CE4BBD" w:rsidRPr="00D854E8" w:rsidRDefault="00762860" w:rsidP="00633CEC">
            <w:pPr>
              <w:rPr>
                <w:rFonts w:ascii="Arial" w:hAnsi="Arial" w:cs="Arial"/>
              </w:rPr>
            </w:pPr>
            <w:r w:rsidRPr="00D854E8">
              <w:rPr>
                <w:rFonts w:ascii="Arial" w:hAnsi="Arial" w:cs="Arial"/>
                <w:noProof/>
              </w:rPr>
              <w:drawing>
                <wp:inline distT="0" distB="0" distL="0" distR="0" wp14:anchorId="0D23CD26" wp14:editId="3181E10E">
                  <wp:extent cx="6480810" cy="3402330"/>
                  <wp:effectExtent l="0" t="0" r="0" b="7620"/>
                  <wp:docPr id="173486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702" name=""/>
                          <pic:cNvPicPr/>
                        </pic:nvPicPr>
                        <pic:blipFill>
                          <a:blip r:embed="rId11"/>
                          <a:stretch>
                            <a:fillRect/>
                          </a:stretch>
                        </pic:blipFill>
                        <pic:spPr>
                          <a:xfrm>
                            <a:off x="0" y="0"/>
                            <a:ext cx="6480810" cy="3402330"/>
                          </a:xfrm>
                          <a:prstGeom prst="rect">
                            <a:avLst/>
                          </a:prstGeom>
                        </pic:spPr>
                      </pic:pic>
                    </a:graphicData>
                  </a:graphic>
                </wp:inline>
              </w:drawing>
            </w:r>
          </w:p>
        </w:tc>
      </w:tr>
      <w:tr w:rsidR="00142471" w:rsidRPr="00D854E8" w14:paraId="01D35232" w14:textId="77777777" w:rsidTr="00CE4BBD">
        <w:trPr>
          <w:trHeight w:val="207"/>
        </w:trPr>
        <w:tc>
          <w:tcPr>
            <w:tcW w:w="10201" w:type="dxa"/>
            <w:gridSpan w:val="2"/>
            <w:tcBorders>
              <w:top w:val="single" w:sz="4" w:space="0" w:color="auto"/>
              <w:left w:val="nil"/>
              <w:bottom w:val="single" w:sz="4" w:space="0" w:color="auto"/>
              <w:right w:val="nil"/>
            </w:tcBorders>
          </w:tcPr>
          <w:p w14:paraId="25F34CBA" w14:textId="77777777" w:rsidR="00142471" w:rsidRPr="00D854E8" w:rsidRDefault="00142471" w:rsidP="00142471">
            <w:pPr>
              <w:rPr>
                <w:rFonts w:ascii="Arial" w:hAnsi="Arial" w:cs="Arial"/>
                <w:color w:val="A6A6A6" w:themeColor="background1" w:themeShade="A6"/>
              </w:rPr>
            </w:pPr>
          </w:p>
        </w:tc>
      </w:tr>
      <w:tr w:rsidR="00E66B24" w:rsidRPr="00D854E8" w14:paraId="546F0E0D" w14:textId="77777777" w:rsidTr="00CE4BBD">
        <w:trPr>
          <w:trHeight w:val="397"/>
        </w:trPr>
        <w:tc>
          <w:tcPr>
            <w:tcW w:w="10201" w:type="dxa"/>
            <w:gridSpan w:val="2"/>
            <w:tcBorders>
              <w:top w:val="single" w:sz="4" w:space="0" w:color="auto"/>
              <w:bottom w:val="single" w:sz="4" w:space="0" w:color="auto"/>
            </w:tcBorders>
            <w:shd w:val="clear" w:color="auto" w:fill="EADDC3"/>
            <w:vAlign w:val="center"/>
          </w:tcPr>
          <w:p w14:paraId="42FF3A5E" w14:textId="77777777" w:rsidR="00E66B24" w:rsidRPr="00D854E8" w:rsidRDefault="00E66B24" w:rsidP="005858F7">
            <w:pPr>
              <w:rPr>
                <w:rFonts w:ascii="Arial" w:hAnsi="Arial" w:cs="Arial"/>
                <w:color w:val="A6A6A6" w:themeColor="background1" w:themeShade="A6"/>
              </w:rPr>
            </w:pPr>
            <w:r w:rsidRPr="00D854E8">
              <w:rPr>
                <w:rFonts w:ascii="Arial" w:hAnsi="Arial" w:cs="Arial"/>
                <w:b/>
                <w:bCs/>
              </w:rPr>
              <w:t>MAIN DUTIES AND RESPONSIBILITIES</w:t>
            </w:r>
          </w:p>
        </w:tc>
      </w:tr>
      <w:tr w:rsidR="000E1BCE" w:rsidRPr="00D854E8" w14:paraId="7C32895D" w14:textId="77777777" w:rsidTr="00CE4BBD">
        <w:trPr>
          <w:trHeight w:val="689"/>
        </w:trPr>
        <w:tc>
          <w:tcPr>
            <w:tcW w:w="10201" w:type="dxa"/>
            <w:gridSpan w:val="2"/>
            <w:tcBorders>
              <w:top w:val="single" w:sz="4" w:space="0" w:color="auto"/>
              <w:bottom w:val="single" w:sz="4" w:space="0" w:color="auto"/>
            </w:tcBorders>
          </w:tcPr>
          <w:p w14:paraId="2DE86DDE" w14:textId="394BCC43" w:rsidR="00DA373B" w:rsidRPr="00D854E8" w:rsidRDefault="00DA373B" w:rsidP="00DA373B">
            <w:pPr>
              <w:pStyle w:val="ListParagraph"/>
              <w:numPr>
                <w:ilvl w:val="0"/>
                <w:numId w:val="22"/>
              </w:numPr>
              <w:rPr>
                <w:rFonts w:ascii="Arial" w:hAnsi="Arial" w:cs="Arial"/>
              </w:rPr>
            </w:pPr>
            <w:r w:rsidRPr="00D854E8">
              <w:rPr>
                <w:rFonts w:ascii="Arial" w:hAnsi="Arial" w:cs="Arial"/>
              </w:rPr>
              <w:t>Manage day-to-day financial administration for Property Services and Facilities, including the processing, coding and reconciliation of invoices for repairs, maintenance and property-related activity, ensuring accuracy, compliance and audit trail integrity.</w:t>
            </w:r>
          </w:p>
          <w:p w14:paraId="48CBAA4D" w14:textId="77777777" w:rsidR="00DA373B" w:rsidRPr="00D854E8" w:rsidRDefault="00DA373B" w:rsidP="00DA373B">
            <w:pPr>
              <w:pStyle w:val="ListParagraph"/>
              <w:numPr>
                <w:ilvl w:val="0"/>
                <w:numId w:val="22"/>
              </w:numPr>
              <w:rPr>
                <w:rFonts w:ascii="Arial" w:hAnsi="Arial" w:cs="Arial"/>
              </w:rPr>
            </w:pPr>
            <w:r w:rsidRPr="00D854E8">
              <w:rPr>
                <w:rFonts w:ascii="Arial" w:hAnsi="Arial" w:cs="Arial"/>
              </w:rPr>
              <w:t>Raise and manage purchase orders, receipting and associated financial documentation, monitoring outstanding actions and ensuring timely processing in line with service requirements.</w:t>
            </w:r>
          </w:p>
          <w:p w14:paraId="48511ED8" w14:textId="77777777" w:rsidR="00DA373B" w:rsidRPr="00D854E8" w:rsidRDefault="00DA373B" w:rsidP="00DA373B">
            <w:pPr>
              <w:pStyle w:val="ListParagraph"/>
              <w:ind w:left="360"/>
              <w:rPr>
                <w:rFonts w:ascii="Arial" w:hAnsi="Arial" w:cs="Arial"/>
              </w:rPr>
            </w:pPr>
          </w:p>
          <w:p w14:paraId="3D11555B" w14:textId="5B8101C4" w:rsidR="00DA373B" w:rsidRPr="00D854E8" w:rsidRDefault="00DA373B" w:rsidP="00A40A65">
            <w:pPr>
              <w:pStyle w:val="ListParagraph"/>
              <w:numPr>
                <w:ilvl w:val="0"/>
                <w:numId w:val="22"/>
              </w:numPr>
              <w:rPr>
                <w:rFonts w:ascii="Arial" w:hAnsi="Arial" w:cs="Arial"/>
              </w:rPr>
            </w:pPr>
            <w:r w:rsidRPr="00D854E8">
              <w:rPr>
                <w:rFonts w:ascii="Arial" w:hAnsi="Arial" w:cs="Arial"/>
              </w:rPr>
              <w:lastRenderedPageBreak/>
              <w:t>Maintain accurate financial records, schedules, trackers and supporting documentation to ensure transparency and audit readiness across Property Services and Facilities expenditure.</w:t>
            </w:r>
          </w:p>
          <w:p w14:paraId="0A5CA033" w14:textId="55468A93" w:rsidR="00DA373B" w:rsidRPr="00D854E8" w:rsidRDefault="00DA373B" w:rsidP="00A40A65">
            <w:pPr>
              <w:pStyle w:val="ListParagraph"/>
              <w:numPr>
                <w:ilvl w:val="0"/>
                <w:numId w:val="22"/>
              </w:numPr>
              <w:rPr>
                <w:rFonts w:ascii="Arial" w:hAnsi="Arial" w:cs="Arial"/>
              </w:rPr>
            </w:pPr>
            <w:r w:rsidRPr="00D854E8">
              <w:rPr>
                <w:rFonts w:ascii="Arial" w:hAnsi="Arial" w:cs="Arial"/>
              </w:rPr>
              <w:t>Manage and administer recharge arrangements for schools, academies, partner organisations and internal services, preparing schedules and ensuring accurate supporting documentation.</w:t>
            </w:r>
          </w:p>
          <w:p w14:paraId="58FEEB31" w14:textId="68317AF9" w:rsidR="00DA373B" w:rsidRPr="00D854E8" w:rsidRDefault="00DA373B" w:rsidP="00A40A65">
            <w:pPr>
              <w:pStyle w:val="ListParagraph"/>
              <w:numPr>
                <w:ilvl w:val="0"/>
                <w:numId w:val="22"/>
              </w:numPr>
              <w:rPr>
                <w:rFonts w:ascii="Arial" w:hAnsi="Arial" w:cs="Arial"/>
              </w:rPr>
            </w:pPr>
            <w:r w:rsidRPr="00D854E8">
              <w:rPr>
                <w:rFonts w:ascii="Arial" w:hAnsi="Arial" w:cs="Arial"/>
              </w:rPr>
              <w:t>Liaise with Finance colleagues to resolve payment issues, reconcile supplier statements, investigate discrepancies and support efficient and compliant financial processing.</w:t>
            </w:r>
          </w:p>
          <w:p w14:paraId="5C8B910A" w14:textId="2675EF3A" w:rsidR="00DA373B" w:rsidRPr="00D854E8" w:rsidRDefault="00DA373B" w:rsidP="00A40A65">
            <w:pPr>
              <w:pStyle w:val="ListParagraph"/>
              <w:numPr>
                <w:ilvl w:val="0"/>
                <w:numId w:val="22"/>
              </w:numPr>
              <w:rPr>
                <w:rFonts w:ascii="Arial" w:hAnsi="Arial" w:cs="Arial"/>
              </w:rPr>
            </w:pPr>
            <w:r w:rsidRPr="00D854E8">
              <w:rPr>
                <w:rFonts w:ascii="Arial" w:hAnsi="Arial" w:cs="Arial"/>
              </w:rPr>
              <w:t>Provide financial administration support to the Commercial Asset Team, including raising rental invoices, maintaining accurate records of tenant charges and supporting arrears monitoring and follow-up activity.</w:t>
            </w:r>
          </w:p>
          <w:p w14:paraId="72A8E793" w14:textId="37D254C2" w:rsidR="00DA373B" w:rsidRPr="00D854E8" w:rsidRDefault="00DA373B" w:rsidP="00A40A65">
            <w:pPr>
              <w:pStyle w:val="ListParagraph"/>
              <w:numPr>
                <w:ilvl w:val="0"/>
                <w:numId w:val="22"/>
              </w:numPr>
              <w:rPr>
                <w:rFonts w:ascii="Arial" w:hAnsi="Arial" w:cs="Arial"/>
              </w:rPr>
            </w:pPr>
            <w:r w:rsidRPr="00D854E8">
              <w:rPr>
                <w:rFonts w:ascii="Arial" w:hAnsi="Arial" w:cs="Arial"/>
              </w:rPr>
              <w:t>Support Direct Debit administration relevant to Property Services and Facilities activity, including record keeping, reconciliation and resolution of discrepancies.</w:t>
            </w:r>
          </w:p>
          <w:p w14:paraId="3BA87AB6" w14:textId="72EC9E90" w:rsidR="00DA373B" w:rsidRPr="00D854E8" w:rsidRDefault="00DA373B" w:rsidP="00A40A65">
            <w:pPr>
              <w:pStyle w:val="ListParagraph"/>
              <w:numPr>
                <w:ilvl w:val="0"/>
                <w:numId w:val="22"/>
              </w:numPr>
              <w:rPr>
                <w:rFonts w:ascii="Arial" w:hAnsi="Arial" w:cs="Arial"/>
              </w:rPr>
            </w:pPr>
            <w:r w:rsidRPr="00D854E8">
              <w:rPr>
                <w:rFonts w:ascii="Arial" w:hAnsi="Arial" w:cs="Arial"/>
              </w:rPr>
              <w:t>Ensure effective and accurate use of relevant systems (e.g. Agresso and Technology Forge), maintaining high standards of data integrity and documentation control.</w:t>
            </w:r>
          </w:p>
          <w:p w14:paraId="2CEF3338" w14:textId="4C1BA985" w:rsidR="00DA373B" w:rsidRPr="00D854E8" w:rsidRDefault="00DA373B" w:rsidP="00A40A65">
            <w:pPr>
              <w:pStyle w:val="ListParagraph"/>
              <w:numPr>
                <w:ilvl w:val="0"/>
                <w:numId w:val="22"/>
              </w:numPr>
              <w:rPr>
                <w:rFonts w:ascii="Arial" w:hAnsi="Arial" w:cs="Arial"/>
              </w:rPr>
            </w:pPr>
            <w:r w:rsidRPr="00D854E8">
              <w:rPr>
                <w:rFonts w:ascii="Arial" w:hAnsi="Arial" w:cs="Arial"/>
              </w:rPr>
              <w:t>Provide clear, professional communication with suppliers, schools, tenants, contractors and internal stakeholders to respond to queries, clarify information and support timely resolution.</w:t>
            </w:r>
          </w:p>
          <w:p w14:paraId="0627D13E" w14:textId="4A24AF9D" w:rsidR="00DA373B" w:rsidRPr="00D854E8" w:rsidRDefault="00DA373B" w:rsidP="00A40A65">
            <w:pPr>
              <w:pStyle w:val="ListParagraph"/>
              <w:numPr>
                <w:ilvl w:val="0"/>
                <w:numId w:val="22"/>
              </w:numPr>
              <w:rPr>
                <w:rFonts w:ascii="Arial" w:hAnsi="Arial" w:cs="Arial"/>
              </w:rPr>
            </w:pPr>
            <w:r w:rsidRPr="00D854E8">
              <w:rPr>
                <w:rFonts w:ascii="Arial" w:hAnsi="Arial" w:cs="Arial"/>
              </w:rPr>
              <w:t>Support continuous improvement by identifying opportunities to strengthen financial controls, improve data quality and streamline processes in line with good practice and audit expectations.</w:t>
            </w:r>
          </w:p>
          <w:p w14:paraId="0EC6D052" w14:textId="4092E6CE" w:rsidR="000E1BCE" w:rsidRPr="00D854E8" w:rsidRDefault="00DA373B" w:rsidP="00DA373B">
            <w:pPr>
              <w:pStyle w:val="ListParagraph"/>
              <w:numPr>
                <w:ilvl w:val="0"/>
                <w:numId w:val="22"/>
              </w:numPr>
              <w:rPr>
                <w:rFonts w:ascii="Arial" w:hAnsi="Arial" w:cs="Arial"/>
              </w:rPr>
            </w:pPr>
            <w:r w:rsidRPr="00D854E8">
              <w:rPr>
                <w:rFonts w:ascii="Arial" w:hAnsi="Arial" w:cs="Arial"/>
              </w:rPr>
              <w:t>Provide general support to the wider Property Services team, appropriate to the grade of the post, to ensure effective service delivery and resilience.</w:t>
            </w:r>
          </w:p>
        </w:tc>
      </w:tr>
      <w:tr w:rsidR="00142471" w:rsidRPr="00D854E8" w14:paraId="60092D0B" w14:textId="77777777" w:rsidTr="00CE4BBD">
        <w:trPr>
          <w:trHeight w:val="266"/>
        </w:trPr>
        <w:tc>
          <w:tcPr>
            <w:tcW w:w="10201" w:type="dxa"/>
            <w:gridSpan w:val="2"/>
            <w:tcBorders>
              <w:top w:val="single" w:sz="4" w:space="0" w:color="auto"/>
              <w:left w:val="nil"/>
              <w:bottom w:val="nil"/>
              <w:right w:val="nil"/>
            </w:tcBorders>
          </w:tcPr>
          <w:p w14:paraId="10C367CB" w14:textId="77777777" w:rsidR="00A40913" w:rsidRPr="00D854E8" w:rsidRDefault="00A40913" w:rsidP="000F3AC4">
            <w:pPr>
              <w:jc w:val="both"/>
              <w:rPr>
                <w:rFonts w:ascii="Arial" w:hAnsi="Arial" w:cs="Arial"/>
              </w:rPr>
            </w:pPr>
          </w:p>
          <w:p w14:paraId="1236EC05" w14:textId="48A8DA16" w:rsidR="002B5B48" w:rsidRPr="00D854E8" w:rsidRDefault="00142471" w:rsidP="000F3AC4">
            <w:pPr>
              <w:jc w:val="both"/>
              <w:rPr>
                <w:rFonts w:ascii="Arial" w:hAnsi="Arial" w:cs="Arial"/>
              </w:rPr>
            </w:pPr>
            <w:r w:rsidRPr="00D854E8">
              <w:rPr>
                <w:rFonts w:ascii="Arial" w:hAnsi="Arial" w:cs="Arial"/>
              </w:rPr>
              <w:t>This</w:t>
            </w:r>
            <w:r w:rsidR="004C6A79" w:rsidRPr="00D854E8">
              <w:rPr>
                <w:rFonts w:ascii="Arial" w:hAnsi="Arial" w:cs="Arial"/>
              </w:rPr>
              <w:t xml:space="preserve"> job</w:t>
            </w:r>
            <w:r w:rsidRPr="00D854E8">
              <w:rPr>
                <w:rFonts w:ascii="Arial" w:hAnsi="Arial" w:cs="Arial"/>
              </w:rPr>
              <w:t xml:space="preserve"> description </w:t>
            </w:r>
            <w:r w:rsidR="003613A3" w:rsidRPr="00D854E8">
              <w:rPr>
                <w:rFonts w:ascii="Arial" w:hAnsi="Arial" w:cs="Arial"/>
              </w:rPr>
              <w:t>outlines</w:t>
            </w:r>
            <w:r w:rsidRPr="00D854E8">
              <w:rPr>
                <w:rFonts w:ascii="Arial" w:hAnsi="Arial" w:cs="Arial"/>
              </w:rPr>
              <w:t xml:space="preserve"> the main duties and responsibilities</w:t>
            </w:r>
            <w:r w:rsidR="00A74677" w:rsidRPr="00D854E8">
              <w:rPr>
                <w:rFonts w:ascii="Arial" w:hAnsi="Arial" w:cs="Arial"/>
              </w:rPr>
              <w:t xml:space="preserve"> but does not</w:t>
            </w:r>
            <w:r w:rsidRPr="00D854E8">
              <w:rPr>
                <w:rFonts w:ascii="Arial" w:hAnsi="Arial" w:cs="Arial"/>
              </w:rPr>
              <w:t xml:space="preserve"> detail </w:t>
            </w:r>
            <w:r w:rsidR="00A74677" w:rsidRPr="00D854E8">
              <w:rPr>
                <w:rFonts w:ascii="Arial" w:hAnsi="Arial" w:cs="Arial"/>
              </w:rPr>
              <w:t xml:space="preserve">every </w:t>
            </w:r>
            <w:r w:rsidR="00E614F5" w:rsidRPr="00D854E8">
              <w:rPr>
                <w:rFonts w:ascii="Arial" w:hAnsi="Arial" w:cs="Arial"/>
              </w:rPr>
              <w:t>task</w:t>
            </w:r>
            <w:r w:rsidRPr="00D854E8">
              <w:rPr>
                <w:rFonts w:ascii="Arial" w:hAnsi="Arial" w:cs="Arial"/>
              </w:rPr>
              <w:t xml:space="preserve"> required </w:t>
            </w:r>
            <w:r w:rsidR="00A74677" w:rsidRPr="00D854E8">
              <w:rPr>
                <w:rFonts w:ascii="Arial" w:hAnsi="Arial" w:cs="Arial"/>
              </w:rPr>
              <w:t>for</w:t>
            </w:r>
            <w:r w:rsidR="00050215" w:rsidRPr="00D854E8">
              <w:rPr>
                <w:rFonts w:ascii="Arial" w:hAnsi="Arial" w:cs="Arial"/>
              </w:rPr>
              <w:t xml:space="preserve"> service delivery</w:t>
            </w:r>
            <w:r w:rsidRPr="00D854E8">
              <w:rPr>
                <w:rFonts w:ascii="Arial" w:hAnsi="Arial" w:cs="Arial"/>
              </w:rPr>
              <w:t>.</w:t>
            </w:r>
            <w:r w:rsidR="009E623A" w:rsidRPr="00D854E8">
              <w:rPr>
                <w:rFonts w:ascii="Arial" w:hAnsi="Arial" w:cs="Arial"/>
              </w:rPr>
              <w:t xml:space="preserve"> </w:t>
            </w:r>
            <w:r w:rsidR="00475863" w:rsidRPr="00D854E8">
              <w:rPr>
                <w:rFonts w:ascii="Arial" w:hAnsi="Arial" w:cs="Arial"/>
              </w:rPr>
              <w:t>Y</w:t>
            </w:r>
            <w:r w:rsidR="009E623A" w:rsidRPr="00D854E8">
              <w:rPr>
                <w:rFonts w:ascii="Arial" w:hAnsi="Arial" w:cs="Arial"/>
              </w:rPr>
              <w:t xml:space="preserve">ou may be asked to </w:t>
            </w:r>
            <w:r w:rsidR="00A74677" w:rsidRPr="00D854E8">
              <w:rPr>
                <w:rFonts w:ascii="Arial" w:hAnsi="Arial" w:cs="Arial"/>
              </w:rPr>
              <w:t>take on</w:t>
            </w:r>
            <w:r w:rsidR="009E623A" w:rsidRPr="00D854E8">
              <w:rPr>
                <w:rFonts w:ascii="Arial" w:hAnsi="Arial" w:cs="Arial"/>
              </w:rPr>
              <w:t xml:space="preserve"> </w:t>
            </w:r>
            <w:r w:rsidR="002B0E83" w:rsidRPr="00D854E8">
              <w:rPr>
                <w:rFonts w:ascii="Arial" w:hAnsi="Arial" w:cs="Arial"/>
              </w:rPr>
              <w:t xml:space="preserve">additional </w:t>
            </w:r>
            <w:r w:rsidR="009E623A" w:rsidRPr="00D854E8">
              <w:rPr>
                <w:rFonts w:ascii="Arial" w:hAnsi="Arial" w:cs="Arial"/>
              </w:rPr>
              <w:t>duties at an equivalent level</w:t>
            </w:r>
            <w:r w:rsidR="004628A8" w:rsidRPr="00D854E8">
              <w:rPr>
                <w:rFonts w:ascii="Arial" w:hAnsi="Arial" w:cs="Arial"/>
              </w:rPr>
              <w:t>,</w:t>
            </w:r>
            <w:r w:rsidR="009E623A" w:rsidRPr="00D854E8">
              <w:rPr>
                <w:rFonts w:ascii="Arial" w:hAnsi="Arial" w:cs="Arial"/>
              </w:rPr>
              <w:t xml:space="preserve"> on a temporary or permanent basis.</w:t>
            </w:r>
          </w:p>
        </w:tc>
      </w:tr>
      <w:tr w:rsidR="00142471" w:rsidRPr="00D854E8" w14:paraId="48783ABF" w14:textId="77777777" w:rsidTr="00CE4BBD">
        <w:trPr>
          <w:trHeight w:val="207"/>
        </w:trPr>
        <w:tc>
          <w:tcPr>
            <w:tcW w:w="10201" w:type="dxa"/>
            <w:gridSpan w:val="2"/>
            <w:tcBorders>
              <w:top w:val="nil"/>
              <w:left w:val="nil"/>
              <w:bottom w:val="single" w:sz="4" w:space="0" w:color="auto"/>
              <w:right w:val="nil"/>
            </w:tcBorders>
          </w:tcPr>
          <w:p w14:paraId="778BC7AD" w14:textId="77777777" w:rsidR="002B5B48" w:rsidRPr="00D854E8" w:rsidRDefault="002B5B48" w:rsidP="00142471">
            <w:pPr>
              <w:rPr>
                <w:rFonts w:ascii="Arial" w:hAnsi="Arial" w:cs="Arial"/>
              </w:rPr>
            </w:pPr>
          </w:p>
        </w:tc>
      </w:tr>
      <w:tr w:rsidR="00142471" w:rsidRPr="00D854E8" w14:paraId="27033E95" w14:textId="77777777" w:rsidTr="00CE4BBD">
        <w:trPr>
          <w:trHeight w:val="397"/>
        </w:trPr>
        <w:tc>
          <w:tcPr>
            <w:tcW w:w="10201" w:type="dxa"/>
            <w:gridSpan w:val="2"/>
            <w:tcBorders>
              <w:top w:val="single" w:sz="4" w:space="0" w:color="auto"/>
              <w:bottom w:val="single" w:sz="4" w:space="0" w:color="auto"/>
            </w:tcBorders>
            <w:shd w:val="clear" w:color="auto" w:fill="EADDC3"/>
            <w:vAlign w:val="center"/>
          </w:tcPr>
          <w:p w14:paraId="0D66421E" w14:textId="4E55A5E8" w:rsidR="00142471" w:rsidRPr="00D854E8" w:rsidRDefault="00142471" w:rsidP="00E67033">
            <w:pPr>
              <w:rPr>
                <w:rFonts w:ascii="Arial" w:hAnsi="Arial" w:cs="Arial"/>
              </w:rPr>
            </w:pPr>
            <w:r w:rsidRPr="00D854E8">
              <w:rPr>
                <w:rFonts w:ascii="Arial" w:hAnsi="Arial" w:cs="Arial"/>
                <w:b/>
                <w:bCs/>
              </w:rPr>
              <w:t>GENERAL RESPONSIBILITIES</w:t>
            </w:r>
          </w:p>
        </w:tc>
      </w:tr>
      <w:tr w:rsidR="00142471" w:rsidRPr="00D854E8" w14:paraId="54EAD3A7" w14:textId="77777777" w:rsidTr="00CE4BBD">
        <w:trPr>
          <w:trHeight w:val="207"/>
        </w:trPr>
        <w:tc>
          <w:tcPr>
            <w:tcW w:w="10201" w:type="dxa"/>
            <w:gridSpan w:val="2"/>
            <w:tcBorders>
              <w:top w:val="single" w:sz="4" w:space="0" w:color="auto"/>
              <w:bottom w:val="single" w:sz="4" w:space="0" w:color="auto"/>
            </w:tcBorders>
          </w:tcPr>
          <w:p w14:paraId="4C1A3B2A" w14:textId="46CA8FB8" w:rsidR="00142471" w:rsidRPr="00D854E8" w:rsidRDefault="00142471" w:rsidP="00142471">
            <w:pPr>
              <w:rPr>
                <w:rFonts w:ascii="Arial" w:hAnsi="Arial" w:cs="Arial"/>
              </w:rPr>
            </w:pPr>
            <w:r w:rsidRPr="00D854E8">
              <w:rPr>
                <w:rFonts w:ascii="Arial" w:hAnsi="Arial" w:cs="Arial"/>
              </w:rPr>
              <w:t xml:space="preserve">Standard responsibilities that apply to all council staff or specific groups are set out in the </w:t>
            </w:r>
            <w:hyperlink r:id="rId12" w:history="1">
              <w:r w:rsidRPr="00D854E8">
                <w:rPr>
                  <w:rStyle w:val="Hyperlink"/>
                  <w:rFonts w:ascii="Arial" w:hAnsi="Arial" w:cs="Arial"/>
                </w:rPr>
                <w:t>Employee Handbook</w:t>
              </w:r>
            </w:hyperlink>
            <w:r w:rsidRPr="00D854E8">
              <w:rPr>
                <w:rFonts w:ascii="Arial" w:hAnsi="Arial" w:cs="Arial"/>
              </w:rPr>
              <w:t>, these include:</w:t>
            </w:r>
          </w:p>
          <w:p w14:paraId="1764AC18" w14:textId="77777777" w:rsidR="00142471" w:rsidRPr="00D854E8" w:rsidRDefault="00142471" w:rsidP="0014247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142471" w:rsidRPr="00D854E8" w14:paraId="63516C01" w14:textId="77777777" w:rsidTr="00EF65C7">
              <w:tc>
                <w:tcPr>
                  <w:tcW w:w="4987" w:type="dxa"/>
                </w:tcPr>
                <w:p w14:paraId="2211B051"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Corporate management</w:t>
                  </w:r>
                </w:p>
                <w:p w14:paraId="1BA5CD6C"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Information governance compliance</w:t>
                  </w:r>
                </w:p>
                <w:p w14:paraId="42C67257"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Whistleblowing</w:t>
                  </w:r>
                </w:p>
                <w:p w14:paraId="521D3FBB"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General Safeguarding Statement</w:t>
                  </w:r>
                </w:p>
                <w:p w14:paraId="4062DC7A"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Project and work management</w:t>
                  </w:r>
                </w:p>
                <w:p w14:paraId="6E2DB7BD" w14:textId="40675312"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Working in a team</w:t>
                  </w:r>
                </w:p>
              </w:tc>
              <w:tc>
                <w:tcPr>
                  <w:tcW w:w="4988" w:type="dxa"/>
                </w:tcPr>
                <w:p w14:paraId="24E66B7C"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Risk management including Health &amp; Safety</w:t>
                  </w:r>
                </w:p>
                <w:p w14:paraId="36B62CEB"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Business continuity</w:t>
                  </w:r>
                </w:p>
                <w:p w14:paraId="05E6080B"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Equality of Opportunity</w:t>
                  </w:r>
                </w:p>
                <w:p w14:paraId="35EF6C80" w14:textId="77777777"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 xml:space="preserve">Our corporate values </w:t>
                  </w:r>
                </w:p>
                <w:p w14:paraId="5E45B33D" w14:textId="132CBA30"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Budget management</w:t>
                  </w:r>
                </w:p>
                <w:p w14:paraId="6AEEB98E" w14:textId="78249569" w:rsidR="00142471" w:rsidRPr="00D854E8" w:rsidRDefault="00142471" w:rsidP="00142471">
                  <w:pPr>
                    <w:pStyle w:val="ListParagraph"/>
                    <w:numPr>
                      <w:ilvl w:val="0"/>
                      <w:numId w:val="4"/>
                    </w:numPr>
                    <w:ind w:left="317" w:hanging="317"/>
                    <w:rPr>
                      <w:rFonts w:ascii="Arial" w:hAnsi="Arial" w:cs="Arial"/>
                    </w:rPr>
                  </w:pPr>
                  <w:r w:rsidRPr="00D854E8">
                    <w:rPr>
                      <w:rFonts w:ascii="Arial" w:hAnsi="Arial" w:cs="Arial"/>
                    </w:rPr>
                    <w:t>Specific responsibilities for managers</w:t>
                  </w:r>
                </w:p>
              </w:tc>
            </w:tr>
          </w:tbl>
          <w:p w14:paraId="2AA3A439" w14:textId="77777777" w:rsidR="00142471" w:rsidRPr="00D854E8" w:rsidRDefault="00142471" w:rsidP="00142471">
            <w:pPr>
              <w:rPr>
                <w:rFonts w:ascii="Arial" w:hAnsi="Arial" w:cs="Arial"/>
              </w:rPr>
            </w:pPr>
          </w:p>
          <w:p w14:paraId="20D2E012" w14:textId="18FC04CD" w:rsidR="00142471" w:rsidRPr="00D854E8" w:rsidRDefault="00142471" w:rsidP="00142471">
            <w:pPr>
              <w:rPr>
                <w:rFonts w:ascii="Arial" w:hAnsi="Arial" w:cs="Arial"/>
              </w:rPr>
            </w:pPr>
            <w:r w:rsidRPr="00D854E8">
              <w:rPr>
                <w:rFonts w:ascii="Arial" w:hAnsi="Arial" w:cs="Arial"/>
              </w:rPr>
              <w:t>Local operating procedures and specific activities/tasks will be supplied by the service.</w:t>
            </w:r>
          </w:p>
        </w:tc>
      </w:tr>
      <w:tr w:rsidR="00CD4107" w:rsidRPr="00D854E8" w14:paraId="4D1784B5" w14:textId="77777777" w:rsidTr="00CE4BBD">
        <w:trPr>
          <w:trHeight w:val="207"/>
        </w:trPr>
        <w:tc>
          <w:tcPr>
            <w:tcW w:w="10201" w:type="dxa"/>
            <w:gridSpan w:val="2"/>
            <w:tcBorders>
              <w:top w:val="single" w:sz="4" w:space="0" w:color="auto"/>
              <w:left w:val="nil"/>
              <w:bottom w:val="single" w:sz="4" w:space="0" w:color="auto"/>
              <w:right w:val="nil"/>
            </w:tcBorders>
          </w:tcPr>
          <w:p w14:paraId="738B9672" w14:textId="77777777" w:rsidR="00CD4107" w:rsidRPr="00D854E8" w:rsidRDefault="00CD4107" w:rsidP="00142471">
            <w:pPr>
              <w:rPr>
                <w:rFonts w:ascii="Arial" w:hAnsi="Arial" w:cs="Arial"/>
              </w:rPr>
            </w:pPr>
          </w:p>
        </w:tc>
      </w:tr>
      <w:tr w:rsidR="00142471" w:rsidRPr="00D854E8" w14:paraId="2B628C3A" w14:textId="77777777" w:rsidTr="00CE4BBD">
        <w:trPr>
          <w:trHeight w:val="397"/>
        </w:trPr>
        <w:tc>
          <w:tcPr>
            <w:tcW w:w="10201" w:type="dxa"/>
            <w:gridSpan w:val="2"/>
            <w:tcBorders>
              <w:top w:val="single" w:sz="4" w:space="0" w:color="auto"/>
              <w:bottom w:val="single" w:sz="4" w:space="0" w:color="auto"/>
            </w:tcBorders>
            <w:shd w:val="clear" w:color="auto" w:fill="EADDC3"/>
            <w:vAlign w:val="center"/>
          </w:tcPr>
          <w:p w14:paraId="43E7B6F4" w14:textId="5CFA0FD0" w:rsidR="00142471" w:rsidRPr="00D854E8" w:rsidRDefault="00142471" w:rsidP="00E67033">
            <w:pPr>
              <w:rPr>
                <w:rFonts w:ascii="Arial" w:hAnsi="Arial" w:cs="Arial"/>
                <w:b/>
                <w:bCs/>
              </w:rPr>
            </w:pPr>
            <w:r w:rsidRPr="00D854E8">
              <w:rPr>
                <w:rFonts w:ascii="Arial" w:hAnsi="Arial" w:cs="Arial"/>
                <w:b/>
                <w:bCs/>
              </w:rPr>
              <w:t>PERSON SPECIFICATION</w:t>
            </w:r>
          </w:p>
        </w:tc>
      </w:tr>
      <w:tr w:rsidR="00491ED1" w:rsidRPr="00D854E8" w14:paraId="5F5CBA9D" w14:textId="77777777" w:rsidTr="00CE4BBD">
        <w:trPr>
          <w:trHeight w:val="1042"/>
        </w:trPr>
        <w:tc>
          <w:tcPr>
            <w:tcW w:w="3712" w:type="dxa"/>
            <w:tcBorders>
              <w:top w:val="single" w:sz="4" w:space="0" w:color="auto"/>
              <w:left w:val="single" w:sz="4" w:space="0" w:color="auto"/>
              <w:bottom w:val="single" w:sz="4" w:space="0" w:color="auto"/>
              <w:right w:val="single" w:sz="4" w:space="0" w:color="auto"/>
            </w:tcBorders>
            <w:shd w:val="clear" w:color="auto" w:fill="EFECE8"/>
            <w:vAlign w:val="center"/>
          </w:tcPr>
          <w:p w14:paraId="2500D733" w14:textId="5255794D" w:rsidR="00491ED1" w:rsidRPr="00D854E8" w:rsidRDefault="00491ED1" w:rsidP="00B97E10">
            <w:pPr>
              <w:rPr>
                <w:rFonts w:ascii="Arial" w:hAnsi="Arial" w:cs="Arial"/>
                <w:b/>
                <w:bCs/>
              </w:rPr>
            </w:pPr>
            <w:r w:rsidRPr="00D854E8">
              <w:rPr>
                <w:rFonts w:ascii="Arial" w:hAnsi="Arial" w:cs="Arial"/>
                <w:b/>
                <w:bCs/>
              </w:rPr>
              <w:t xml:space="preserve">Qualifications/Education/Training </w:t>
            </w:r>
          </w:p>
        </w:tc>
        <w:tc>
          <w:tcPr>
            <w:tcW w:w="6489" w:type="dxa"/>
            <w:tcBorders>
              <w:top w:val="single" w:sz="4" w:space="0" w:color="auto"/>
              <w:left w:val="single" w:sz="4" w:space="0" w:color="auto"/>
              <w:bottom w:val="single" w:sz="4" w:space="0" w:color="auto"/>
              <w:right w:val="single" w:sz="4" w:space="0" w:color="auto"/>
            </w:tcBorders>
            <w:vAlign w:val="center"/>
          </w:tcPr>
          <w:p w14:paraId="65A4708F" w14:textId="77777777" w:rsidR="000E1BCE" w:rsidRPr="00D854E8" w:rsidRDefault="000E1BCE" w:rsidP="000E1BCE">
            <w:pPr>
              <w:pStyle w:val="ListParagraph"/>
              <w:numPr>
                <w:ilvl w:val="0"/>
                <w:numId w:val="21"/>
              </w:numPr>
              <w:rPr>
                <w:rFonts w:ascii="Arial" w:hAnsi="Arial" w:cs="Arial"/>
              </w:rPr>
            </w:pPr>
            <w:r w:rsidRPr="00D854E8">
              <w:rPr>
                <w:rFonts w:ascii="Arial" w:hAnsi="Arial" w:cs="Arial"/>
              </w:rPr>
              <w:t>GCSEs (or equivalent) including English and Maths. (Essential)</w:t>
            </w:r>
          </w:p>
          <w:p w14:paraId="1BABB109" w14:textId="77777777" w:rsidR="000E1BCE" w:rsidRPr="00D854E8" w:rsidRDefault="000E1BCE" w:rsidP="000E1BCE">
            <w:pPr>
              <w:pStyle w:val="ListParagraph"/>
              <w:numPr>
                <w:ilvl w:val="0"/>
                <w:numId w:val="21"/>
              </w:numPr>
              <w:rPr>
                <w:rFonts w:ascii="Arial" w:hAnsi="Arial" w:cs="Arial"/>
              </w:rPr>
            </w:pPr>
            <w:r w:rsidRPr="00D854E8">
              <w:rPr>
                <w:rFonts w:ascii="Arial" w:hAnsi="Arial" w:cs="Arial"/>
              </w:rPr>
              <w:t>Evidence of strong numeracy and financial accuracy skills, suitable for a finance-focused administrative role. (Essential)</w:t>
            </w:r>
          </w:p>
          <w:p w14:paraId="0404014B" w14:textId="77777777" w:rsidR="000E1BCE" w:rsidRPr="00D854E8" w:rsidRDefault="000E1BCE" w:rsidP="000E1BCE">
            <w:pPr>
              <w:pStyle w:val="ListParagraph"/>
              <w:numPr>
                <w:ilvl w:val="0"/>
                <w:numId w:val="21"/>
              </w:numPr>
              <w:rPr>
                <w:rFonts w:ascii="Arial" w:hAnsi="Arial" w:cs="Arial"/>
              </w:rPr>
            </w:pPr>
            <w:r w:rsidRPr="00D854E8">
              <w:rPr>
                <w:rFonts w:ascii="Arial" w:hAnsi="Arial" w:cs="Arial"/>
              </w:rPr>
              <w:t>Training or qualification in finance, business administration or a related discipline. (Desirable)</w:t>
            </w:r>
          </w:p>
          <w:p w14:paraId="7FE716A5" w14:textId="0A01D98F" w:rsidR="002B3884" w:rsidRPr="00D854E8" w:rsidRDefault="000E1BCE" w:rsidP="000E1BCE">
            <w:pPr>
              <w:pStyle w:val="ListParagraph"/>
              <w:numPr>
                <w:ilvl w:val="0"/>
                <w:numId w:val="21"/>
              </w:numPr>
              <w:rPr>
                <w:rFonts w:ascii="Arial" w:hAnsi="Arial" w:cs="Arial"/>
              </w:rPr>
            </w:pPr>
            <w:r w:rsidRPr="00D854E8">
              <w:rPr>
                <w:rFonts w:ascii="Arial" w:hAnsi="Arial" w:cs="Arial"/>
              </w:rPr>
              <w:t>Willingness to undertake relevant training, including financial systems, audit compliance and council procedures. (Essential)</w:t>
            </w:r>
          </w:p>
        </w:tc>
      </w:tr>
      <w:tr w:rsidR="00491ED1" w:rsidRPr="00D854E8" w14:paraId="29C6B05C" w14:textId="77777777" w:rsidTr="00CE4BBD">
        <w:trPr>
          <w:trHeight w:val="986"/>
        </w:trPr>
        <w:tc>
          <w:tcPr>
            <w:tcW w:w="3712" w:type="dxa"/>
            <w:tcBorders>
              <w:top w:val="single" w:sz="4" w:space="0" w:color="auto"/>
              <w:left w:val="single" w:sz="4" w:space="0" w:color="auto"/>
              <w:bottom w:val="single" w:sz="4" w:space="0" w:color="auto"/>
              <w:right w:val="single" w:sz="4" w:space="0" w:color="auto"/>
            </w:tcBorders>
            <w:shd w:val="clear" w:color="auto" w:fill="EFECE8"/>
            <w:vAlign w:val="center"/>
          </w:tcPr>
          <w:p w14:paraId="4CB2BD8B" w14:textId="408C6297" w:rsidR="00491ED1" w:rsidRPr="00D854E8" w:rsidRDefault="00491ED1" w:rsidP="00B97E10">
            <w:pPr>
              <w:rPr>
                <w:rFonts w:ascii="Arial" w:hAnsi="Arial" w:cs="Arial"/>
                <w:b/>
                <w:bCs/>
              </w:rPr>
            </w:pPr>
            <w:r w:rsidRPr="00D854E8">
              <w:rPr>
                <w:rFonts w:ascii="Arial" w:hAnsi="Arial" w:cs="Arial"/>
                <w:b/>
                <w:bCs/>
              </w:rPr>
              <w:t xml:space="preserve">Experience </w:t>
            </w:r>
          </w:p>
        </w:tc>
        <w:tc>
          <w:tcPr>
            <w:tcW w:w="6489" w:type="dxa"/>
            <w:tcBorders>
              <w:top w:val="single" w:sz="4" w:space="0" w:color="auto"/>
              <w:left w:val="single" w:sz="4" w:space="0" w:color="auto"/>
              <w:bottom w:val="single" w:sz="4" w:space="0" w:color="auto"/>
              <w:right w:val="single" w:sz="4" w:space="0" w:color="auto"/>
            </w:tcBorders>
            <w:vAlign w:val="center"/>
          </w:tcPr>
          <w:p w14:paraId="7EB7108D" w14:textId="2683C473" w:rsidR="005133C8" w:rsidRPr="00D854E8" w:rsidRDefault="005133C8" w:rsidP="005133C8">
            <w:pPr>
              <w:pStyle w:val="ListParagraph"/>
              <w:numPr>
                <w:ilvl w:val="0"/>
                <w:numId w:val="21"/>
              </w:numPr>
              <w:rPr>
                <w:rFonts w:ascii="Arial" w:hAnsi="Arial" w:cs="Arial"/>
              </w:rPr>
            </w:pPr>
            <w:r w:rsidRPr="00D854E8">
              <w:rPr>
                <w:rFonts w:ascii="Arial" w:hAnsi="Arial" w:cs="Arial"/>
              </w:rPr>
              <w:t>Experience of working in a finance, accounts, property services or similarly data-driven administrative role. (Essential)</w:t>
            </w:r>
          </w:p>
          <w:p w14:paraId="1BF79425" w14:textId="5F674D42" w:rsidR="005133C8" w:rsidRPr="00D854E8" w:rsidRDefault="005133C8" w:rsidP="005133C8">
            <w:pPr>
              <w:pStyle w:val="ListParagraph"/>
              <w:numPr>
                <w:ilvl w:val="0"/>
                <w:numId w:val="21"/>
              </w:numPr>
              <w:rPr>
                <w:rFonts w:ascii="Arial" w:hAnsi="Arial" w:cs="Arial"/>
              </w:rPr>
            </w:pPr>
            <w:r w:rsidRPr="00D854E8">
              <w:rPr>
                <w:rFonts w:ascii="Arial" w:hAnsi="Arial" w:cs="Arial"/>
              </w:rPr>
              <w:t>Experience of processing and reconciling invoices, purchase orders or financial transactions. (Essential)</w:t>
            </w:r>
          </w:p>
          <w:p w14:paraId="4EFC6AEE" w14:textId="70CCDA5E" w:rsidR="005133C8" w:rsidRPr="00D854E8" w:rsidRDefault="005133C8" w:rsidP="005133C8">
            <w:pPr>
              <w:pStyle w:val="ListParagraph"/>
              <w:numPr>
                <w:ilvl w:val="0"/>
                <w:numId w:val="21"/>
              </w:numPr>
              <w:rPr>
                <w:rFonts w:ascii="Arial" w:hAnsi="Arial" w:cs="Arial"/>
              </w:rPr>
            </w:pPr>
            <w:r w:rsidRPr="00D854E8">
              <w:rPr>
                <w:rFonts w:ascii="Arial" w:hAnsi="Arial" w:cs="Arial"/>
              </w:rPr>
              <w:t>Experience of working with financial systems, spreadsheets or databases, with a strong emphasis on accuracy and detail. (Essential)</w:t>
            </w:r>
          </w:p>
          <w:p w14:paraId="26DDC5D3" w14:textId="2D413256" w:rsidR="005133C8" w:rsidRPr="00D854E8" w:rsidRDefault="005133C8" w:rsidP="005133C8">
            <w:pPr>
              <w:pStyle w:val="ListParagraph"/>
              <w:numPr>
                <w:ilvl w:val="0"/>
                <w:numId w:val="21"/>
              </w:numPr>
              <w:rPr>
                <w:rFonts w:ascii="Arial" w:hAnsi="Arial" w:cs="Arial"/>
              </w:rPr>
            </w:pPr>
            <w:r w:rsidRPr="00D854E8">
              <w:rPr>
                <w:rFonts w:ascii="Arial" w:hAnsi="Arial" w:cs="Arial"/>
              </w:rPr>
              <w:lastRenderedPageBreak/>
              <w:t>Experience of working to deadlines, managing competing priorities and maintaining accuracy in a busy working environment. (Essential)</w:t>
            </w:r>
          </w:p>
          <w:p w14:paraId="410A73CA" w14:textId="77777777" w:rsidR="005133C8" w:rsidRPr="00D854E8" w:rsidRDefault="005133C8" w:rsidP="005133C8">
            <w:pPr>
              <w:pStyle w:val="ListParagraph"/>
              <w:numPr>
                <w:ilvl w:val="0"/>
                <w:numId w:val="21"/>
              </w:numPr>
              <w:rPr>
                <w:rFonts w:ascii="Arial" w:hAnsi="Arial" w:cs="Arial"/>
              </w:rPr>
            </w:pPr>
            <w:r w:rsidRPr="00D854E8">
              <w:rPr>
                <w:rFonts w:ascii="Arial" w:hAnsi="Arial" w:cs="Arial"/>
              </w:rPr>
              <w:t>Experience of communicating with suppliers, customers, schools, tenants or internal stakeholders regarding financial or administrative matters. (Essential)</w:t>
            </w:r>
          </w:p>
          <w:p w14:paraId="001E699F" w14:textId="059BB20E" w:rsidR="005D5701" w:rsidRPr="00D854E8" w:rsidRDefault="005133C8" w:rsidP="005133C8">
            <w:pPr>
              <w:pStyle w:val="ListParagraph"/>
              <w:numPr>
                <w:ilvl w:val="0"/>
                <w:numId w:val="21"/>
              </w:numPr>
              <w:rPr>
                <w:rFonts w:ascii="Arial" w:hAnsi="Arial" w:cs="Arial"/>
              </w:rPr>
            </w:pPr>
            <w:r w:rsidRPr="00D854E8">
              <w:rPr>
                <w:rFonts w:ascii="Arial" w:hAnsi="Arial" w:cs="Arial"/>
                <w:color w:val="262626" w:themeColor="text1" w:themeTint="D9"/>
              </w:rPr>
              <w:t>Experience of working within a local government, property, commercial asset or repairs/maintenance environment. (Desirable)</w:t>
            </w:r>
          </w:p>
        </w:tc>
      </w:tr>
      <w:tr w:rsidR="00491ED1" w:rsidRPr="00D854E8" w14:paraId="0670BC44" w14:textId="77777777" w:rsidTr="00CE4BBD">
        <w:trPr>
          <w:trHeight w:val="985"/>
        </w:trPr>
        <w:tc>
          <w:tcPr>
            <w:tcW w:w="3712" w:type="dxa"/>
            <w:tcBorders>
              <w:top w:val="single" w:sz="4" w:space="0" w:color="auto"/>
              <w:left w:val="single" w:sz="4" w:space="0" w:color="auto"/>
              <w:bottom w:val="single" w:sz="4" w:space="0" w:color="auto"/>
              <w:right w:val="single" w:sz="4" w:space="0" w:color="auto"/>
            </w:tcBorders>
            <w:shd w:val="clear" w:color="auto" w:fill="EFECE8"/>
            <w:vAlign w:val="center"/>
          </w:tcPr>
          <w:p w14:paraId="6772631C" w14:textId="2484C12B" w:rsidR="00491ED1" w:rsidRPr="00D854E8" w:rsidRDefault="00491ED1" w:rsidP="00B97E10">
            <w:pPr>
              <w:rPr>
                <w:rFonts w:ascii="Arial" w:hAnsi="Arial" w:cs="Arial"/>
                <w:b/>
                <w:bCs/>
              </w:rPr>
            </w:pPr>
            <w:r w:rsidRPr="00D854E8">
              <w:rPr>
                <w:rFonts w:ascii="Arial" w:hAnsi="Arial" w:cs="Arial"/>
                <w:b/>
                <w:bCs/>
              </w:rPr>
              <w:lastRenderedPageBreak/>
              <w:t xml:space="preserve">Skills, Abilities </w:t>
            </w:r>
            <w:r w:rsidR="00740B0E" w:rsidRPr="00D854E8">
              <w:rPr>
                <w:rFonts w:ascii="Arial" w:hAnsi="Arial" w:cs="Arial"/>
                <w:b/>
                <w:bCs/>
              </w:rPr>
              <w:t>and</w:t>
            </w:r>
            <w:r w:rsidRPr="00D854E8">
              <w:rPr>
                <w:rFonts w:ascii="Arial" w:hAnsi="Arial" w:cs="Arial"/>
                <w:b/>
                <w:bCs/>
              </w:rPr>
              <w:t xml:space="preserve"> Competencies </w:t>
            </w:r>
          </w:p>
        </w:tc>
        <w:tc>
          <w:tcPr>
            <w:tcW w:w="6489" w:type="dxa"/>
            <w:tcBorders>
              <w:top w:val="single" w:sz="4" w:space="0" w:color="auto"/>
              <w:left w:val="single" w:sz="4" w:space="0" w:color="auto"/>
              <w:bottom w:val="single" w:sz="4" w:space="0" w:color="auto"/>
              <w:right w:val="single" w:sz="4" w:space="0" w:color="auto"/>
            </w:tcBorders>
            <w:vAlign w:val="center"/>
          </w:tcPr>
          <w:p w14:paraId="4530EB22" w14:textId="15E3BD81"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Strong attention to detail and excellent accuracy when processing financial information and maintaining records. (Essential)</w:t>
            </w:r>
          </w:p>
          <w:p w14:paraId="61D9A60C" w14:textId="4DF32F4F"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Good analytical and problem-solving skills, with the ability to identify discrepancies, query issues and support resolution. (Essential)</w:t>
            </w:r>
          </w:p>
          <w:p w14:paraId="7B78EEC5" w14:textId="124F2317"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Confident IT user, with the ability to use financial systems such as Agresso and CAFM/property systems such as Technology Forge, as well as Microsoft Excel, Outlook and other standard applications. (Essential)</w:t>
            </w:r>
          </w:p>
          <w:p w14:paraId="13AA95D6" w14:textId="4467B67B"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Ability to work independently and use initiative within agreed procedures, while recognising when issues require escalation. (Essential)</w:t>
            </w:r>
          </w:p>
          <w:p w14:paraId="2BDFE002" w14:textId="58A631E8"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Strong organisational skills, with the ability to manage workload, prioritise tasks and meet financial deadlines. (Essential)</w:t>
            </w:r>
          </w:p>
          <w:p w14:paraId="3BBD30FB" w14:textId="3DBF1F90"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Clear, professional communication skills, with the ability to explain financial information calmly and confidently to a range of stakeholders. (Essential)</w:t>
            </w:r>
          </w:p>
          <w:p w14:paraId="2A5127CD" w14:textId="1BDE6BF6" w:rsidR="00491ED1" w:rsidRPr="00D854E8" w:rsidRDefault="005133C8" w:rsidP="002B5B4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Ability to work collaboratively as part of a wider team, supporting colleagues and contributing to an efficient, well-controlled service. (Essential)</w:t>
            </w:r>
          </w:p>
        </w:tc>
      </w:tr>
      <w:tr w:rsidR="00491ED1" w:rsidRPr="00D854E8" w14:paraId="250B0B53" w14:textId="77777777" w:rsidTr="00CE4BBD">
        <w:trPr>
          <w:trHeight w:val="1113"/>
        </w:trPr>
        <w:tc>
          <w:tcPr>
            <w:tcW w:w="3712" w:type="dxa"/>
            <w:tcBorders>
              <w:top w:val="single" w:sz="4" w:space="0" w:color="auto"/>
              <w:left w:val="single" w:sz="4" w:space="0" w:color="auto"/>
              <w:bottom w:val="single" w:sz="4" w:space="0" w:color="auto"/>
              <w:right w:val="single" w:sz="4" w:space="0" w:color="auto"/>
            </w:tcBorders>
            <w:shd w:val="clear" w:color="auto" w:fill="EFECE8"/>
            <w:vAlign w:val="center"/>
          </w:tcPr>
          <w:p w14:paraId="2DF3398C" w14:textId="5163C1A5" w:rsidR="00491ED1" w:rsidRPr="00D854E8" w:rsidRDefault="0008756C" w:rsidP="00B97E10">
            <w:pPr>
              <w:rPr>
                <w:rFonts w:ascii="Arial" w:hAnsi="Arial" w:cs="Arial"/>
                <w:b/>
                <w:bCs/>
              </w:rPr>
            </w:pPr>
            <w:r w:rsidRPr="00D854E8">
              <w:rPr>
                <w:rFonts w:ascii="Arial" w:hAnsi="Arial" w:cs="Arial"/>
                <w:b/>
                <w:bCs/>
              </w:rPr>
              <w:t>Specific Working Requirements</w:t>
            </w:r>
          </w:p>
        </w:tc>
        <w:tc>
          <w:tcPr>
            <w:tcW w:w="6489" w:type="dxa"/>
            <w:tcBorders>
              <w:top w:val="single" w:sz="4" w:space="0" w:color="auto"/>
              <w:left w:val="single" w:sz="4" w:space="0" w:color="auto"/>
              <w:bottom w:val="single" w:sz="4" w:space="0" w:color="auto"/>
              <w:right w:val="single" w:sz="4" w:space="0" w:color="auto"/>
            </w:tcBorders>
            <w:vAlign w:val="center"/>
          </w:tcPr>
          <w:p w14:paraId="59AD835F" w14:textId="195C031D" w:rsidR="005133C8" w:rsidRPr="00D854E8" w:rsidRDefault="005133C8" w:rsidP="005133C8">
            <w:pPr>
              <w:pStyle w:val="ListParagraph"/>
              <w:numPr>
                <w:ilvl w:val="0"/>
                <w:numId w:val="21"/>
              </w:numPr>
              <w:rPr>
                <w:rFonts w:ascii="Arial" w:hAnsi="Arial" w:cs="Arial"/>
                <w:color w:val="262626" w:themeColor="text1" w:themeTint="D9"/>
              </w:rPr>
            </w:pPr>
            <w:r w:rsidRPr="00D854E8">
              <w:rPr>
                <w:rFonts w:ascii="Arial" w:hAnsi="Arial" w:cs="Arial"/>
                <w:color w:val="262626" w:themeColor="text1" w:themeTint="D9"/>
              </w:rPr>
              <w:t>Commitment to maintaining confidentiality and handling financial information responsibly.</w:t>
            </w:r>
          </w:p>
          <w:p w14:paraId="66F37637" w14:textId="7095CA7F" w:rsidR="002137C9" w:rsidRPr="00D854E8" w:rsidRDefault="005133C8" w:rsidP="005133C8">
            <w:pPr>
              <w:pStyle w:val="ListParagraph"/>
              <w:numPr>
                <w:ilvl w:val="0"/>
                <w:numId w:val="21"/>
              </w:numPr>
              <w:rPr>
                <w:rFonts w:ascii="Arial" w:hAnsi="Arial" w:cs="Arial"/>
                <w:color w:val="A6A6A6" w:themeColor="background1" w:themeShade="A6"/>
              </w:rPr>
            </w:pPr>
            <w:r w:rsidRPr="00D854E8">
              <w:rPr>
                <w:rFonts w:ascii="Arial" w:hAnsi="Arial" w:cs="Arial"/>
                <w:color w:val="262626" w:themeColor="text1" w:themeTint="D9"/>
              </w:rPr>
              <w:t>Commitment to accuracy, professionalism and delivering a high-quality financial administration service.</w:t>
            </w:r>
          </w:p>
        </w:tc>
      </w:tr>
      <w:tr w:rsidR="00DE6A69" w:rsidRPr="00D854E8" w14:paraId="59B8BFA4" w14:textId="77777777" w:rsidTr="00CE4BBD">
        <w:trPr>
          <w:trHeight w:val="82"/>
        </w:trPr>
        <w:tc>
          <w:tcPr>
            <w:tcW w:w="3712" w:type="dxa"/>
            <w:tcBorders>
              <w:top w:val="single" w:sz="4" w:space="0" w:color="auto"/>
              <w:left w:val="nil"/>
              <w:bottom w:val="single" w:sz="4" w:space="0" w:color="auto"/>
              <w:right w:val="nil"/>
            </w:tcBorders>
          </w:tcPr>
          <w:p w14:paraId="0B733EE8" w14:textId="77777777" w:rsidR="00DE6A69" w:rsidRPr="00D854E8" w:rsidRDefault="00DE6A69" w:rsidP="005858F7">
            <w:pPr>
              <w:rPr>
                <w:rFonts w:ascii="Arial" w:hAnsi="Arial" w:cs="Arial"/>
                <w:b/>
                <w:bCs/>
              </w:rPr>
            </w:pPr>
          </w:p>
        </w:tc>
        <w:tc>
          <w:tcPr>
            <w:tcW w:w="6489" w:type="dxa"/>
            <w:tcBorders>
              <w:top w:val="single" w:sz="4" w:space="0" w:color="auto"/>
              <w:left w:val="nil"/>
              <w:bottom w:val="single" w:sz="4" w:space="0" w:color="auto"/>
              <w:right w:val="nil"/>
            </w:tcBorders>
          </w:tcPr>
          <w:p w14:paraId="5F40F30A" w14:textId="77777777" w:rsidR="00DE6A69" w:rsidRPr="00D854E8" w:rsidRDefault="00DE6A69" w:rsidP="005858F7">
            <w:pPr>
              <w:rPr>
                <w:rFonts w:ascii="Arial" w:hAnsi="Arial" w:cs="Arial"/>
              </w:rPr>
            </w:pPr>
          </w:p>
        </w:tc>
      </w:tr>
      <w:tr w:rsidR="00DE6A69" w:rsidRPr="00D854E8" w14:paraId="20D99038" w14:textId="77777777" w:rsidTr="00CE4BBD">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EADDC3"/>
            <w:vAlign w:val="center"/>
          </w:tcPr>
          <w:p w14:paraId="1B7CE13D" w14:textId="7FDDEA2E" w:rsidR="00DE6A69" w:rsidRPr="00D854E8" w:rsidRDefault="00DE6A69" w:rsidP="005858F7">
            <w:pPr>
              <w:rPr>
                <w:rFonts w:ascii="Arial" w:hAnsi="Arial" w:cs="Arial"/>
              </w:rPr>
            </w:pPr>
            <w:r w:rsidRPr="00D854E8">
              <w:rPr>
                <w:rFonts w:ascii="Arial" w:hAnsi="Arial" w:cs="Arial"/>
                <w:b/>
                <w:bCs/>
              </w:rPr>
              <w:t xml:space="preserve">OTHER/SPECIAL REQUIREMENTS </w:t>
            </w:r>
          </w:p>
        </w:tc>
      </w:tr>
      <w:tr w:rsidR="00DE6A69" w:rsidRPr="00D854E8" w14:paraId="5A4EFED2" w14:textId="77777777" w:rsidTr="00CE4BBD">
        <w:trPr>
          <w:trHeight w:val="403"/>
        </w:trPr>
        <w:tc>
          <w:tcPr>
            <w:tcW w:w="3712" w:type="dxa"/>
            <w:tcBorders>
              <w:top w:val="single" w:sz="4" w:space="0" w:color="auto"/>
              <w:left w:val="single" w:sz="4" w:space="0" w:color="auto"/>
              <w:bottom w:val="single" w:sz="4" w:space="0" w:color="auto"/>
              <w:right w:val="single" w:sz="4" w:space="0" w:color="auto"/>
            </w:tcBorders>
            <w:shd w:val="clear" w:color="auto" w:fill="EFECE8"/>
            <w:vAlign w:val="center"/>
          </w:tcPr>
          <w:p w14:paraId="557E6A84" w14:textId="77777777" w:rsidR="00DE6A69" w:rsidRPr="00D854E8" w:rsidRDefault="00DE6A69" w:rsidP="00DE6A69">
            <w:pPr>
              <w:rPr>
                <w:rFonts w:ascii="Arial" w:hAnsi="Arial" w:cs="Arial"/>
                <w:b/>
                <w:bCs/>
                <w:sz w:val="20"/>
                <w:szCs w:val="20"/>
              </w:rPr>
            </w:pPr>
            <w:r w:rsidRPr="00D854E8">
              <w:rPr>
                <w:rFonts w:ascii="Arial" w:hAnsi="Arial" w:cs="Arial"/>
                <w:b/>
                <w:bCs/>
                <w:sz w:val="20"/>
                <w:szCs w:val="20"/>
              </w:rPr>
              <w:t>DBS check required for this role</w:t>
            </w:r>
          </w:p>
        </w:tc>
        <w:tc>
          <w:tcPr>
            <w:tcW w:w="6489" w:type="dxa"/>
            <w:tcBorders>
              <w:top w:val="single" w:sz="4" w:space="0" w:color="auto"/>
              <w:left w:val="single" w:sz="4" w:space="0" w:color="auto"/>
              <w:bottom w:val="single" w:sz="4" w:space="0" w:color="auto"/>
              <w:right w:val="single" w:sz="4" w:space="0" w:color="auto"/>
            </w:tcBorders>
            <w:vAlign w:val="center"/>
          </w:tcPr>
          <w:p w14:paraId="6DC9304D" w14:textId="101F51DD" w:rsidR="008E6FB9" w:rsidRPr="00D854E8" w:rsidRDefault="00DE6A69" w:rsidP="00DE6A69">
            <w:pPr>
              <w:rPr>
                <w:rFonts w:ascii="Arial" w:hAnsi="Arial" w:cs="Arial"/>
              </w:rPr>
            </w:pPr>
            <w:r w:rsidRPr="00D854E8">
              <w:rPr>
                <w:rFonts w:ascii="Arial" w:hAnsi="Arial" w:cs="Arial"/>
              </w:rPr>
              <w:t>Not applicable</w:t>
            </w:r>
          </w:p>
        </w:tc>
      </w:tr>
      <w:tr w:rsidR="00DE6A69" w:rsidRPr="00D854E8" w14:paraId="57041CF1" w14:textId="77777777" w:rsidTr="00CE4BBD">
        <w:trPr>
          <w:trHeight w:val="410"/>
        </w:trPr>
        <w:tc>
          <w:tcPr>
            <w:tcW w:w="3712" w:type="dxa"/>
            <w:tcBorders>
              <w:top w:val="single" w:sz="4" w:space="0" w:color="auto"/>
              <w:left w:val="single" w:sz="4" w:space="0" w:color="auto"/>
              <w:bottom w:val="single" w:sz="4" w:space="0" w:color="auto"/>
              <w:right w:val="single" w:sz="4" w:space="0" w:color="auto"/>
            </w:tcBorders>
            <w:shd w:val="clear" w:color="auto" w:fill="EFECE8"/>
            <w:vAlign w:val="center"/>
          </w:tcPr>
          <w:p w14:paraId="23929A14" w14:textId="77777777" w:rsidR="00DE6A69" w:rsidRPr="00D854E8" w:rsidRDefault="00DE6A69" w:rsidP="00DE6A69">
            <w:pPr>
              <w:rPr>
                <w:rFonts w:ascii="Arial" w:hAnsi="Arial" w:cs="Arial"/>
                <w:b/>
                <w:bCs/>
                <w:sz w:val="20"/>
                <w:szCs w:val="20"/>
              </w:rPr>
            </w:pPr>
            <w:r w:rsidRPr="00D854E8">
              <w:rPr>
                <w:rFonts w:ascii="Arial" w:hAnsi="Arial" w:cs="Arial"/>
                <w:b/>
                <w:bCs/>
                <w:sz w:val="20"/>
                <w:szCs w:val="20"/>
              </w:rPr>
              <w:t>Is this role “politically restricted”?</w:t>
            </w:r>
          </w:p>
        </w:tc>
        <w:tc>
          <w:tcPr>
            <w:tcW w:w="6489" w:type="dxa"/>
            <w:tcBorders>
              <w:top w:val="single" w:sz="4" w:space="0" w:color="auto"/>
              <w:left w:val="single" w:sz="4" w:space="0" w:color="auto"/>
              <w:bottom w:val="single" w:sz="4" w:space="0" w:color="auto"/>
              <w:right w:val="single" w:sz="4" w:space="0" w:color="auto"/>
            </w:tcBorders>
            <w:vAlign w:val="center"/>
          </w:tcPr>
          <w:p w14:paraId="4A2DB84C" w14:textId="5171E0F3" w:rsidR="008E6FB9" w:rsidRPr="00D854E8" w:rsidRDefault="00DE6A69" w:rsidP="00DE6A69">
            <w:pPr>
              <w:rPr>
                <w:rFonts w:ascii="Arial" w:hAnsi="Arial" w:cs="Arial"/>
              </w:rPr>
            </w:pPr>
            <w:r w:rsidRPr="00D854E8">
              <w:rPr>
                <w:rFonts w:ascii="Arial" w:hAnsi="Arial" w:cs="Arial"/>
              </w:rPr>
              <w:t>No</w:t>
            </w:r>
          </w:p>
        </w:tc>
      </w:tr>
      <w:tr w:rsidR="00DE6A69" w:rsidRPr="00D854E8" w14:paraId="69006074" w14:textId="77777777" w:rsidTr="00CE4BBD">
        <w:trPr>
          <w:trHeight w:val="158"/>
        </w:trPr>
        <w:tc>
          <w:tcPr>
            <w:tcW w:w="10201" w:type="dxa"/>
            <w:gridSpan w:val="2"/>
            <w:tcBorders>
              <w:top w:val="single" w:sz="4" w:space="0" w:color="auto"/>
              <w:left w:val="nil"/>
              <w:bottom w:val="single" w:sz="4" w:space="0" w:color="auto"/>
              <w:right w:val="nil"/>
            </w:tcBorders>
          </w:tcPr>
          <w:p w14:paraId="1C9DB39D" w14:textId="77777777" w:rsidR="00DE6A69" w:rsidRPr="00D854E8" w:rsidRDefault="00DE6A69" w:rsidP="005858F7">
            <w:pPr>
              <w:rPr>
                <w:rFonts w:ascii="Arial" w:hAnsi="Arial" w:cs="Arial"/>
                <w:sz w:val="20"/>
                <w:szCs w:val="20"/>
              </w:rPr>
            </w:pPr>
          </w:p>
        </w:tc>
      </w:tr>
      <w:tr w:rsidR="00CA58E6" w:rsidRPr="00D854E8" w14:paraId="5F57BB11" w14:textId="77777777" w:rsidTr="00CE4BBD">
        <w:trPr>
          <w:trHeight w:val="397"/>
        </w:trPr>
        <w:tc>
          <w:tcPr>
            <w:tcW w:w="10201" w:type="dxa"/>
            <w:gridSpan w:val="2"/>
            <w:tcBorders>
              <w:top w:val="single" w:sz="4" w:space="0" w:color="auto"/>
            </w:tcBorders>
            <w:shd w:val="clear" w:color="auto" w:fill="EADDC3"/>
            <w:vAlign w:val="center"/>
          </w:tcPr>
          <w:p w14:paraId="2B61BB35" w14:textId="503C95E0" w:rsidR="00CA58E6" w:rsidRPr="00D854E8" w:rsidRDefault="00EB12B8" w:rsidP="00EB12B8">
            <w:pPr>
              <w:rPr>
                <w:rFonts w:ascii="Arial" w:hAnsi="Arial" w:cs="Arial"/>
              </w:rPr>
            </w:pPr>
            <w:r w:rsidRPr="00D854E8">
              <w:rPr>
                <w:rFonts w:ascii="Arial" w:hAnsi="Arial" w:cs="Arial"/>
                <w:b/>
                <w:bCs/>
              </w:rPr>
              <w:t>ADDITIONAL JOB DETAILS</w:t>
            </w:r>
          </w:p>
        </w:tc>
      </w:tr>
      <w:tr w:rsidR="00CA58E6" w:rsidRPr="00D854E8" w14:paraId="511D7699" w14:textId="77777777" w:rsidTr="00CE4BBD">
        <w:trPr>
          <w:trHeight w:val="397"/>
        </w:trPr>
        <w:tc>
          <w:tcPr>
            <w:tcW w:w="3712" w:type="dxa"/>
            <w:shd w:val="clear" w:color="auto" w:fill="EFECE8"/>
            <w:vAlign w:val="center"/>
          </w:tcPr>
          <w:p w14:paraId="27FDD417" w14:textId="22B50E43" w:rsidR="00CA58E6" w:rsidRPr="00D854E8" w:rsidRDefault="00EB12B8" w:rsidP="00EB12B8">
            <w:pPr>
              <w:rPr>
                <w:rFonts w:ascii="Arial" w:hAnsi="Arial" w:cs="Arial"/>
                <w:b/>
                <w:bCs/>
              </w:rPr>
            </w:pPr>
            <w:r w:rsidRPr="00D854E8">
              <w:rPr>
                <w:rFonts w:ascii="Arial" w:hAnsi="Arial" w:cs="Arial"/>
                <w:b/>
                <w:bCs/>
              </w:rPr>
              <w:t>Job Grade</w:t>
            </w:r>
          </w:p>
        </w:tc>
        <w:tc>
          <w:tcPr>
            <w:tcW w:w="6489" w:type="dxa"/>
            <w:vAlign w:val="center"/>
          </w:tcPr>
          <w:p w14:paraId="4FBE4302" w14:textId="52EBDFC0" w:rsidR="00C7543E" w:rsidRPr="00D854E8" w:rsidRDefault="005133C8" w:rsidP="00EB12B8">
            <w:pPr>
              <w:rPr>
                <w:rFonts w:ascii="Arial" w:hAnsi="Arial" w:cs="Arial"/>
              </w:rPr>
            </w:pPr>
            <w:r w:rsidRPr="00D854E8">
              <w:rPr>
                <w:rFonts w:ascii="Arial" w:hAnsi="Arial" w:cs="Arial"/>
              </w:rPr>
              <w:t>Grade 5</w:t>
            </w:r>
          </w:p>
        </w:tc>
      </w:tr>
      <w:tr w:rsidR="00CA58E6" w:rsidRPr="00D854E8" w14:paraId="100558D5" w14:textId="77777777" w:rsidTr="00CE4BBD">
        <w:trPr>
          <w:trHeight w:val="397"/>
        </w:trPr>
        <w:tc>
          <w:tcPr>
            <w:tcW w:w="3712" w:type="dxa"/>
            <w:shd w:val="clear" w:color="auto" w:fill="EFECE8"/>
            <w:vAlign w:val="center"/>
          </w:tcPr>
          <w:p w14:paraId="175D18BE" w14:textId="64ABEC99" w:rsidR="00CA58E6" w:rsidRPr="00D854E8" w:rsidRDefault="00EB12B8" w:rsidP="00EB12B8">
            <w:pPr>
              <w:rPr>
                <w:rFonts w:ascii="Arial" w:hAnsi="Arial" w:cs="Arial"/>
                <w:b/>
                <w:bCs/>
              </w:rPr>
            </w:pPr>
            <w:r w:rsidRPr="00D854E8">
              <w:rPr>
                <w:rFonts w:ascii="Arial" w:hAnsi="Arial" w:cs="Arial"/>
                <w:b/>
                <w:bCs/>
              </w:rPr>
              <w:t>Directorate</w:t>
            </w:r>
          </w:p>
        </w:tc>
        <w:tc>
          <w:tcPr>
            <w:tcW w:w="6489" w:type="dxa"/>
            <w:vAlign w:val="center"/>
          </w:tcPr>
          <w:p w14:paraId="698AE1CD" w14:textId="2FD488D8" w:rsidR="00CA58E6" w:rsidRPr="00D854E8" w:rsidRDefault="005133C8" w:rsidP="00EB12B8">
            <w:pPr>
              <w:rPr>
                <w:rFonts w:ascii="Arial" w:hAnsi="Arial" w:cs="Arial"/>
              </w:rPr>
            </w:pPr>
            <w:r w:rsidRPr="00D854E8">
              <w:rPr>
                <w:rFonts w:ascii="Arial" w:hAnsi="Arial" w:cs="Arial"/>
              </w:rPr>
              <w:t>Place</w:t>
            </w:r>
          </w:p>
        </w:tc>
      </w:tr>
      <w:tr w:rsidR="00CA58E6" w:rsidRPr="00D854E8" w14:paraId="0E0A11EB" w14:textId="77777777" w:rsidTr="00CE4BBD">
        <w:trPr>
          <w:trHeight w:val="397"/>
        </w:trPr>
        <w:tc>
          <w:tcPr>
            <w:tcW w:w="3712" w:type="dxa"/>
            <w:shd w:val="clear" w:color="auto" w:fill="EFECE8"/>
            <w:vAlign w:val="center"/>
          </w:tcPr>
          <w:p w14:paraId="382D9150" w14:textId="53BBEDF2" w:rsidR="00CA58E6" w:rsidRPr="00D854E8" w:rsidRDefault="00EB12B8" w:rsidP="00EB12B8">
            <w:pPr>
              <w:rPr>
                <w:rFonts w:ascii="Arial" w:hAnsi="Arial" w:cs="Arial"/>
                <w:b/>
                <w:bCs/>
              </w:rPr>
            </w:pPr>
            <w:r w:rsidRPr="00D854E8">
              <w:rPr>
                <w:rFonts w:ascii="Arial" w:hAnsi="Arial" w:cs="Arial"/>
                <w:b/>
                <w:bCs/>
              </w:rPr>
              <w:t>Service Area</w:t>
            </w:r>
          </w:p>
        </w:tc>
        <w:tc>
          <w:tcPr>
            <w:tcW w:w="6489" w:type="dxa"/>
            <w:vAlign w:val="center"/>
          </w:tcPr>
          <w:p w14:paraId="472C6ACD" w14:textId="7733DB94" w:rsidR="00CA58E6" w:rsidRPr="00D854E8" w:rsidRDefault="00C7543E" w:rsidP="00EB12B8">
            <w:pPr>
              <w:rPr>
                <w:rFonts w:ascii="Arial" w:hAnsi="Arial" w:cs="Arial"/>
              </w:rPr>
            </w:pPr>
            <w:r w:rsidRPr="00D854E8">
              <w:rPr>
                <w:rFonts w:ascii="Arial" w:hAnsi="Arial" w:cs="Arial"/>
              </w:rPr>
              <w:t>Placemaking, Partnerships and Sustainability</w:t>
            </w:r>
          </w:p>
        </w:tc>
      </w:tr>
    </w:tbl>
    <w:p w14:paraId="0238F22E" w14:textId="77777777" w:rsidR="00F54A77" w:rsidRPr="00A40A65" w:rsidRDefault="00F54A77" w:rsidP="00F54A77">
      <w:pPr>
        <w:rPr>
          <w:rFonts w:ascii="Arial" w:hAnsi="Arial" w:cs="Arial"/>
        </w:rPr>
      </w:pPr>
    </w:p>
    <w:sectPr w:rsidR="00F54A77" w:rsidRPr="00A40A65" w:rsidSect="008B44A8">
      <w:footerReference w:type="default" r:id="rId13"/>
      <w:footerReference w:type="first" r:id="rId14"/>
      <w:pgSz w:w="11906" w:h="16838"/>
      <w:pgMar w:top="709" w:right="849" w:bottom="1135" w:left="85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77EF" w14:textId="77777777" w:rsidR="001B70F3" w:rsidRDefault="001B70F3" w:rsidP="00991452">
      <w:pPr>
        <w:spacing w:after="0" w:line="240" w:lineRule="auto"/>
      </w:pPr>
      <w:r>
        <w:separator/>
      </w:r>
    </w:p>
  </w:endnote>
  <w:endnote w:type="continuationSeparator" w:id="0">
    <w:p w14:paraId="1FAB89F0" w14:textId="77777777" w:rsidR="001B70F3" w:rsidRDefault="001B70F3" w:rsidP="00991452">
      <w:pPr>
        <w:spacing w:after="0" w:line="240" w:lineRule="auto"/>
      </w:pPr>
      <w:r>
        <w:continuationSeparator/>
      </w:r>
    </w:p>
  </w:endnote>
  <w:endnote w:type="continuationNotice" w:id="1">
    <w:p w14:paraId="717E54EA" w14:textId="77777777" w:rsidR="001B70F3" w:rsidRDefault="001B7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BE2" w14:textId="01ABF269" w:rsidR="002F713A" w:rsidRPr="002F713A" w:rsidRDefault="002F713A" w:rsidP="008506E1">
    <w:pPr>
      <w:pStyle w:val="Footer"/>
      <w:rPr>
        <w:sz w:val="20"/>
        <w:szCs w:val="20"/>
      </w:rPr>
    </w:pPr>
  </w:p>
  <w:p w14:paraId="45859FCF" w14:textId="13B8DE06" w:rsidR="002F713A" w:rsidRPr="008B44A8" w:rsidRDefault="008B44A8" w:rsidP="002F713A">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732" w14:textId="0A8783A9" w:rsidR="008F2CA7" w:rsidRPr="00FD4130" w:rsidRDefault="008F2CA7">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 xml:space="preserve">Humility, </w:t>
    </w:r>
    <w:r w:rsidR="006A1113" w:rsidRPr="00FD4130">
      <w:rPr>
        <w:rFonts w:ascii="ADLaM Display" w:hAnsi="ADLaM Display" w:cs="ADLaM Display"/>
        <w:color w:val="6F2277"/>
        <w:sz w:val="28"/>
        <w:szCs w:val="28"/>
      </w:rPr>
      <w:t>Empower, Respect, One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38D5" w14:textId="77777777" w:rsidR="001B70F3" w:rsidRDefault="001B70F3" w:rsidP="00991452">
      <w:pPr>
        <w:spacing w:after="0" w:line="240" w:lineRule="auto"/>
      </w:pPr>
      <w:r>
        <w:separator/>
      </w:r>
    </w:p>
  </w:footnote>
  <w:footnote w:type="continuationSeparator" w:id="0">
    <w:p w14:paraId="6462007F" w14:textId="77777777" w:rsidR="001B70F3" w:rsidRDefault="001B70F3" w:rsidP="00991452">
      <w:pPr>
        <w:spacing w:after="0" w:line="240" w:lineRule="auto"/>
      </w:pPr>
      <w:r>
        <w:continuationSeparator/>
      </w:r>
    </w:p>
  </w:footnote>
  <w:footnote w:type="continuationNotice" w:id="1">
    <w:p w14:paraId="5D2499B9" w14:textId="77777777" w:rsidR="001B70F3" w:rsidRDefault="001B70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2"/>
    <w:multiLevelType w:val="hybridMultilevel"/>
    <w:tmpl w:val="E1EA5054"/>
    <w:lvl w:ilvl="0" w:tplc="C9AA1A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01C9A"/>
    <w:multiLevelType w:val="hybridMultilevel"/>
    <w:tmpl w:val="ED3A8D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254EF9"/>
    <w:multiLevelType w:val="hybridMultilevel"/>
    <w:tmpl w:val="BD90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72125"/>
    <w:multiLevelType w:val="hybridMultilevel"/>
    <w:tmpl w:val="8FEE049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B2988"/>
    <w:multiLevelType w:val="hybridMultilevel"/>
    <w:tmpl w:val="ED58F59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00719C"/>
    <w:multiLevelType w:val="hybridMultilevel"/>
    <w:tmpl w:val="E6A87924"/>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A376ADE"/>
    <w:multiLevelType w:val="hybridMultilevel"/>
    <w:tmpl w:val="FB3A6CEA"/>
    <w:lvl w:ilvl="0" w:tplc="DD1620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9941A7"/>
    <w:multiLevelType w:val="hybridMultilevel"/>
    <w:tmpl w:val="0234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7F42"/>
    <w:multiLevelType w:val="hybridMultilevel"/>
    <w:tmpl w:val="BE5C506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8A2774"/>
    <w:multiLevelType w:val="hybridMultilevel"/>
    <w:tmpl w:val="93664A6A"/>
    <w:lvl w:ilvl="0" w:tplc="DD1620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A1C38"/>
    <w:multiLevelType w:val="hybridMultilevel"/>
    <w:tmpl w:val="AF20CA8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4E54AB"/>
    <w:multiLevelType w:val="hybridMultilevel"/>
    <w:tmpl w:val="81DEACA0"/>
    <w:lvl w:ilvl="0" w:tplc="C9AA1A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13AA8"/>
    <w:multiLevelType w:val="hybridMultilevel"/>
    <w:tmpl w:val="307A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B50B8C"/>
    <w:multiLevelType w:val="hybridMultilevel"/>
    <w:tmpl w:val="79ECF27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265C44AB"/>
    <w:multiLevelType w:val="hybridMultilevel"/>
    <w:tmpl w:val="17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451232"/>
    <w:multiLevelType w:val="hybridMultilevel"/>
    <w:tmpl w:val="7E841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614CD4"/>
    <w:multiLevelType w:val="hybridMultilevel"/>
    <w:tmpl w:val="8A8A34E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23C37"/>
    <w:multiLevelType w:val="hybridMultilevel"/>
    <w:tmpl w:val="3426FDAE"/>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459A8"/>
    <w:multiLevelType w:val="hybridMultilevel"/>
    <w:tmpl w:val="7704639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2544AB5"/>
    <w:multiLevelType w:val="hybridMultilevel"/>
    <w:tmpl w:val="BBA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F7758"/>
    <w:multiLevelType w:val="hybridMultilevel"/>
    <w:tmpl w:val="6A4C7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3663D"/>
    <w:multiLevelType w:val="hybridMultilevel"/>
    <w:tmpl w:val="F4F6323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9519185">
    <w:abstractNumId w:val="19"/>
  </w:num>
  <w:num w:numId="2" w16cid:durableId="17046103">
    <w:abstractNumId w:val="12"/>
  </w:num>
  <w:num w:numId="3" w16cid:durableId="1356081930">
    <w:abstractNumId w:val="11"/>
  </w:num>
  <w:num w:numId="4" w16cid:durableId="1581135691">
    <w:abstractNumId w:val="0"/>
  </w:num>
  <w:num w:numId="5" w16cid:durableId="391394851">
    <w:abstractNumId w:val="14"/>
  </w:num>
  <w:num w:numId="6" w16cid:durableId="1116438480">
    <w:abstractNumId w:val="15"/>
  </w:num>
  <w:num w:numId="7" w16cid:durableId="412628858">
    <w:abstractNumId w:val="2"/>
  </w:num>
  <w:num w:numId="8" w16cid:durableId="170876189">
    <w:abstractNumId w:val="16"/>
  </w:num>
  <w:num w:numId="9" w16cid:durableId="1264991610">
    <w:abstractNumId w:val="17"/>
  </w:num>
  <w:num w:numId="10" w16cid:durableId="675035737">
    <w:abstractNumId w:val="3"/>
  </w:num>
  <w:num w:numId="11" w16cid:durableId="2032992943">
    <w:abstractNumId w:val="7"/>
  </w:num>
  <w:num w:numId="12" w16cid:durableId="753167686">
    <w:abstractNumId w:val="20"/>
  </w:num>
  <w:num w:numId="13" w16cid:durableId="1551307613">
    <w:abstractNumId w:val="8"/>
  </w:num>
  <w:num w:numId="14" w16cid:durableId="819986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847477">
    <w:abstractNumId w:val="4"/>
  </w:num>
  <w:num w:numId="16" w16cid:durableId="1545874881">
    <w:abstractNumId w:val="1"/>
  </w:num>
  <w:num w:numId="17" w16cid:durableId="1329207110">
    <w:abstractNumId w:val="18"/>
  </w:num>
  <w:num w:numId="18" w16cid:durableId="30737566">
    <w:abstractNumId w:val="21"/>
  </w:num>
  <w:num w:numId="19" w16cid:durableId="1283340307">
    <w:abstractNumId w:val="10"/>
  </w:num>
  <w:num w:numId="20" w16cid:durableId="1350790228">
    <w:abstractNumId w:val="6"/>
  </w:num>
  <w:num w:numId="21" w16cid:durableId="1357732219">
    <w:abstractNumId w:val="9"/>
  </w:num>
  <w:num w:numId="22" w16cid:durableId="1097559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52"/>
    <w:rsid w:val="000072C0"/>
    <w:rsid w:val="0001092D"/>
    <w:rsid w:val="000111F3"/>
    <w:rsid w:val="00017C2F"/>
    <w:rsid w:val="00022193"/>
    <w:rsid w:val="00023850"/>
    <w:rsid w:val="00023CF6"/>
    <w:rsid w:val="00025421"/>
    <w:rsid w:val="00027F51"/>
    <w:rsid w:val="00027FA2"/>
    <w:rsid w:val="00030974"/>
    <w:rsid w:val="00032C37"/>
    <w:rsid w:val="0003454C"/>
    <w:rsid w:val="000353EE"/>
    <w:rsid w:val="00037098"/>
    <w:rsid w:val="0003754C"/>
    <w:rsid w:val="000402AE"/>
    <w:rsid w:val="00043BAC"/>
    <w:rsid w:val="00045277"/>
    <w:rsid w:val="00050215"/>
    <w:rsid w:val="00050DA5"/>
    <w:rsid w:val="00050DA9"/>
    <w:rsid w:val="000564A9"/>
    <w:rsid w:val="00061317"/>
    <w:rsid w:val="00061399"/>
    <w:rsid w:val="00063AC4"/>
    <w:rsid w:val="00064E72"/>
    <w:rsid w:val="00070EF5"/>
    <w:rsid w:val="00071700"/>
    <w:rsid w:val="00071E28"/>
    <w:rsid w:val="000749DA"/>
    <w:rsid w:val="000826DD"/>
    <w:rsid w:val="000845D6"/>
    <w:rsid w:val="000870E1"/>
    <w:rsid w:val="00087214"/>
    <w:rsid w:val="0008756C"/>
    <w:rsid w:val="00094B2F"/>
    <w:rsid w:val="00096E68"/>
    <w:rsid w:val="00097154"/>
    <w:rsid w:val="000A197D"/>
    <w:rsid w:val="000A2DB8"/>
    <w:rsid w:val="000A317B"/>
    <w:rsid w:val="000A418F"/>
    <w:rsid w:val="000A4972"/>
    <w:rsid w:val="000A6B00"/>
    <w:rsid w:val="000A7210"/>
    <w:rsid w:val="000B0507"/>
    <w:rsid w:val="000B1B2E"/>
    <w:rsid w:val="000B3871"/>
    <w:rsid w:val="000B7815"/>
    <w:rsid w:val="000C4A9D"/>
    <w:rsid w:val="000D1801"/>
    <w:rsid w:val="000D3896"/>
    <w:rsid w:val="000E1BCE"/>
    <w:rsid w:val="000E2B98"/>
    <w:rsid w:val="000E3ECA"/>
    <w:rsid w:val="000E5B79"/>
    <w:rsid w:val="000E61C2"/>
    <w:rsid w:val="000F02EF"/>
    <w:rsid w:val="000F2DBB"/>
    <w:rsid w:val="000F3AC4"/>
    <w:rsid w:val="000F3BCF"/>
    <w:rsid w:val="00106A07"/>
    <w:rsid w:val="00106B30"/>
    <w:rsid w:val="00110209"/>
    <w:rsid w:val="00110481"/>
    <w:rsid w:val="00110F4B"/>
    <w:rsid w:val="00111E87"/>
    <w:rsid w:val="00113C61"/>
    <w:rsid w:val="00114F8F"/>
    <w:rsid w:val="0011530B"/>
    <w:rsid w:val="001210BC"/>
    <w:rsid w:val="0012198C"/>
    <w:rsid w:val="001257ED"/>
    <w:rsid w:val="00125D63"/>
    <w:rsid w:val="0012615A"/>
    <w:rsid w:val="00126D8F"/>
    <w:rsid w:val="00127A08"/>
    <w:rsid w:val="00135297"/>
    <w:rsid w:val="00140E1E"/>
    <w:rsid w:val="00141209"/>
    <w:rsid w:val="00142471"/>
    <w:rsid w:val="00142F6F"/>
    <w:rsid w:val="00145BDE"/>
    <w:rsid w:val="00150A0B"/>
    <w:rsid w:val="00150AE2"/>
    <w:rsid w:val="00155EA8"/>
    <w:rsid w:val="00157D6F"/>
    <w:rsid w:val="001664DF"/>
    <w:rsid w:val="00172286"/>
    <w:rsid w:val="00172F4F"/>
    <w:rsid w:val="001749B4"/>
    <w:rsid w:val="00187460"/>
    <w:rsid w:val="001910CD"/>
    <w:rsid w:val="0019490B"/>
    <w:rsid w:val="00196341"/>
    <w:rsid w:val="001A0A78"/>
    <w:rsid w:val="001A3152"/>
    <w:rsid w:val="001A50F2"/>
    <w:rsid w:val="001A56FD"/>
    <w:rsid w:val="001B3464"/>
    <w:rsid w:val="001B5041"/>
    <w:rsid w:val="001B59F4"/>
    <w:rsid w:val="001B70F3"/>
    <w:rsid w:val="001B78D8"/>
    <w:rsid w:val="001C0D44"/>
    <w:rsid w:val="001C1887"/>
    <w:rsid w:val="001C1AD6"/>
    <w:rsid w:val="001C375E"/>
    <w:rsid w:val="001C4961"/>
    <w:rsid w:val="001D0ABD"/>
    <w:rsid w:val="001D7AD4"/>
    <w:rsid w:val="001E35EC"/>
    <w:rsid w:val="001E4DFD"/>
    <w:rsid w:val="001E686A"/>
    <w:rsid w:val="001F163E"/>
    <w:rsid w:val="001F42CF"/>
    <w:rsid w:val="001F51F9"/>
    <w:rsid w:val="001F6EC6"/>
    <w:rsid w:val="00202316"/>
    <w:rsid w:val="002033D7"/>
    <w:rsid w:val="00203C7C"/>
    <w:rsid w:val="002077C0"/>
    <w:rsid w:val="0021068C"/>
    <w:rsid w:val="0021119F"/>
    <w:rsid w:val="002134CC"/>
    <w:rsid w:val="002137C9"/>
    <w:rsid w:val="002140BD"/>
    <w:rsid w:val="0021602B"/>
    <w:rsid w:val="002178DC"/>
    <w:rsid w:val="00221861"/>
    <w:rsid w:val="0022214F"/>
    <w:rsid w:val="00222431"/>
    <w:rsid w:val="00222915"/>
    <w:rsid w:val="00225DB5"/>
    <w:rsid w:val="002261E7"/>
    <w:rsid w:val="00227A72"/>
    <w:rsid w:val="00232FDD"/>
    <w:rsid w:val="002339BC"/>
    <w:rsid w:val="00235B14"/>
    <w:rsid w:val="00235E3E"/>
    <w:rsid w:val="0023621B"/>
    <w:rsid w:val="0024370B"/>
    <w:rsid w:val="0024482C"/>
    <w:rsid w:val="00246FDE"/>
    <w:rsid w:val="00260EC4"/>
    <w:rsid w:val="00262238"/>
    <w:rsid w:val="002660C3"/>
    <w:rsid w:val="0027040B"/>
    <w:rsid w:val="0027275C"/>
    <w:rsid w:val="002731FC"/>
    <w:rsid w:val="002751E1"/>
    <w:rsid w:val="002808BF"/>
    <w:rsid w:val="00281017"/>
    <w:rsid w:val="00281A94"/>
    <w:rsid w:val="00283036"/>
    <w:rsid w:val="00283DC7"/>
    <w:rsid w:val="0028558F"/>
    <w:rsid w:val="00285C38"/>
    <w:rsid w:val="002900E2"/>
    <w:rsid w:val="002940E3"/>
    <w:rsid w:val="00294CAD"/>
    <w:rsid w:val="002A17BD"/>
    <w:rsid w:val="002A2D14"/>
    <w:rsid w:val="002A422D"/>
    <w:rsid w:val="002B0E83"/>
    <w:rsid w:val="002B0F86"/>
    <w:rsid w:val="002B3884"/>
    <w:rsid w:val="002B3A25"/>
    <w:rsid w:val="002B51BF"/>
    <w:rsid w:val="002B5B48"/>
    <w:rsid w:val="002C20CB"/>
    <w:rsid w:val="002C459F"/>
    <w:rsid w:val="002C7114"/>
    <w:rsid w:val="002D0CD8"/>
    <w:rsid w:val="002D1B00"/>
    <w:rsid w:val="002D39AC"/>
    <w:rsid w:val="002D4459"/>
    <w:rsid w:val="002D6F1A"/>
    <w:rsid w:val="002E0AD1"/>
    <w:rsid w:val="002E3822"/>
    <w:rsid w:val="002E4C2D"/>
    <w:rsid w:val="002E55E1"/>
    <w:rsid w:val="002E560A"/>
    <w:rsid w:val="002E7713"/>
    <w:rsid w:val="002E7907"/>
    <w:rsid w:val="002E7DFA"/>
    <w:rsid w:val="002F062B"/>
    <w:rsid w:val="002F15B4"/>
    <w:rsid w:val="002F230C"/>
    <w:rsid w:val="002F562F"/>
    <w:rsid w:val="002F6BDE"/>
    <w:rsid w:val="002F713A"/>
    <w:rsid w:val="00300834"/>
    <w:rsid w:val="00301584"/>
    <w:rsid w:val="003037E8"/>
    <w:rsid w:val="00303C08"/>
    <w:rsid w:val="00323C38"/>
    <w:rsid w:val="003250BB"/>
    <w:rsid w:val="003250FB"/>
    <w:rsid w:val="00325924"/>
    <w:rsid w:val="003259EF"/>
    <w:rsid w:val="003409BA"/>
    <w:rsid w:val="00344337"/>
    <w:rsid w:val="0034529B"/>
    <w:rsid w:val="003506C4"/>
    <w:rsid w:val="00352316"/>
    <w:rsid w:val="00360F2A"/>
    <w:rsid w:val="003613A3"/>
    <w:rsid w:val="0036171C"/>
    <w:rsid w:val="00370886"/>
    <w:rsid w:val="00372644"/>
    <w:rsid w:val="00375D21"/>
    <w:rsid w:val="00376C73"/>
    <w:rsid w:val="00380BD6"/>
    <w:rsid w:val="00381079"/>
    <w:rsid w:val="00381192"/>
    <w:rsid w:val="00383B23"/>
    <w:rsid w:val="0038554F"/>
    <w:rsid w:val="003875B2"/>
    <w:rsid w:val="00395AA9"/>
    <w:rsid w:val="00396FD3"/>
    <w:rsid w:val="003A2942"/>
    <w:rsid w:val="003A2FE5"/>
    <w:rsid w:val="003A47BA"/>
    <w:rsid w:val="003B0A41"/>
    <w:rsid w:val="003B37C3"/>
    <w:rsid w:val="003B38E1"/>
    <w:rsid w:val="003B4B07"/>
    <w:rsid w:val="003B5BBC"/>
    <w:rsid w:val="003B5D34"/>
    <w:rsid w:val="003C6A95"/>
    <w:rsid w:val="003C722A"/>
    <w:rsid w:val="003D0F0C"/>
    <w:rsid w:val="003D46D7"/>
    <w:rsid w:val="003E0BF3"/>
    <w:rsid w:val="003E2AE9"/>
    <w:rsid w:val="003E400C"/>
    <w:rsid w:val="003E7F76"/>
    <w:rsid w:val="003F0834"/>
    <w:rsid w:val="003F31B8"/>
    <w:rsid w:val="0040207C"/>
    <w:rsid w:val="004026E1"/>
    <w:rsid w:val="00403AEB"/>
    <w:rsid w:val="004073A7"/>
    <w:rsid w:val="00410130"/>
    <w:rsid w:val="00413988"/>
    <w:rsid w:val="00414CF3"/>
    <w:rsid w:val="00417C6E"/>
    <w:rsid w:val="00422B7A"/>
    <w:rsid w:val="00434397"/>
    <w:rsid w:val="004360D6"/>
    <w:rsid w:val="0043784E"/>
    <w:rsid w:val="004419AA"/>
    <w:rsid w:val="004419F1"/>
    <w:rsid w:val="00442AF7"/>
    <w:rsid w:val="00443919"/>
    <w:rsid w:val="00450072"/>
    <w:rsid w:val="004509B9"/>
    <w:rsid w:val="00453132"/>
    <w:rsid w:val="00457202"/>
    <w:rsid w:val="00461DB8"/>
    <w:rsid w:val="004628A8"/>
    <w:rsid w:val="00464B54"/>
    <w:rsid w:val="00465681"/>
    <w:rsid w:val="0047151F"/>
    <w:rsid w:val="00474C2F"/>
    <w:rsid w:val="00475863"/>
    <w:rsid w:val="00480CD9"/>
    <w:rsid w:val="00483A1D"/>
    <w:rsid w:val="004901B5"/>
    <w:rsid w:val="00491ED1"/>
    <w:rsid w:val="00495738"/>
    <w:rsid w:val="004A471C"/>
    <w:rsid w:val="004A5472"/>
    <w:rsid w:val="004B0C38"/>
    <w:rsid w:val="004B72B1"/>
    <w:rsid w:val="004C6A79"/>
    <w:rsid w:val="004C6BA0"/>
    <w:rsid w:val="004C6F3D"/>
    <w:rsid w:val="004C74CF"/>
    <w:rsid w:val="004D05C0"/>
    <w:rsid w:val="004D0DB3"/>
    <w:rsid w:val="004D2189"/>
    <w:rsid w:val="004D5534"/>
    <w:rsid w:val="004D5FA4"/>
    <w:rsid w:val="004D6027"/>
    <w:rsid w:val="004D6556"/>
    <w:rsid w:val="004D688E"/>
    <w:rsid w:val="004E5D11"/>
    <w:rsid w:val="004F09D1"/>
    <w:rsid w:val="004F20B5"/>
    <w:rsid w:val="004F25E3"/>
    <w:rsid w:val="004F3AB4"/>
    <w:rsid w:val="0050087A"/>
    <w:rsid w:val="00504D2D"/>
    <w:rsid w:val="005122DA"/>
    <w:rsid w:val="005133C8"/>
    <w:rsid w:val="00513463"/>
    <w:rsid w:val="0051714E"/>
    <w:rsid w:val="00521792"/>
    <w:rsid w:val="00521FD2"/>
    <w:rsid w:val="00522965"/>
    <w:rsid w:val="0052329A"/>
    <w:rsid w:val="00523A47"/>
    <w:rsid w:val="005263D4"/>
    <w:rsid w:val="00527382"/>
    <w:rsid w:val="005312D3"/>
    <w:rsid w:val="00533C17"/>
    <w:rsid w:val="0053406F"/>
    <w:rsid w:val="00535282"/>
    <w:rsid w:val="00536FF4"/>
    <w:rsid w:val="005420BB"/>
    <w:rsid w:val="00544C14"/>
    <w:rsid w:val="00551BD5"/>
    <w:rsid w:val="00560061"/>
    <w:rsid w:val="0056199A"/>
    <w:rsid w:val="00561EDC"/>
    <w:rsid w:val="005624D6"/>
    <w:rsid w:val="00563DD1"/>
    <w:rsid w:val="005654FD"/>
    <w:rsid w:val="005675AC"/>
    <w:rsid w:val="005730E9"/>
    <w:rsid w:val="0057372C"/>
    <w:rsid w:val="005752C8"/>
    <w:rsid w:val="00577748"/>
    <w:rsid w:val="0057794A"/>
    <w:rsid w:val="00577FE2"/>
    <w:rsid w:val="00581104"/>
    <w:rsid w:val="00581793"/>
    <w:rsid w:val="00583CA3"/>
    <w:rsid w:val="005858F7"/>
    <w:rsid w:val="005866A5"/>
    <w:rsid w:val="00587A85"/>
    <w:rsid w:val="0059056F"/>
    <w:rsid w:val="00594769"/>
    <w:rsid w:val="005A1BC2"/>
    <w:rsid w:val="005A33E1"/>
    <w:rsid w:val="005A60AE"/>
    <w:rsid w:val="005A6DA5"/>
    <w:rsid w:val="005A729F"/>
    <w:rsid w:val="005B0C5E"/>
    <w:rsid w:val="005B781F"/>
    <w:rsid w:val="005C065E"/>
    <w:rsid w:val="005C1308"/>
    <w:rsid w:val="005C2471"/>
    <w:rsid w:val="005C4466"/>
    <w:rsid w:val="005C711D"/>
    <w:rsid w:val="005D143F"/>
    <w:rsid w:val="005D1561"/>
    <w:rsid w:val="005D2923"/>
    <w:rsid w:val="005D5701"/>
    <w:rsid w:val="005D66B5"/>
    <w:rsid w:val="005D7F40"/>
    <w:rsid w:val="005E1B56"/>
    <w:rsid w:val="005E2784"/>
    <w:rsid w:val="005E48A7"/>
    <w:rsid w:val="005F2901"/>
    <w:rsid w:val="005F29C5"/>
    <w:rsid w:val="005F2FE6"/>
    <w:rsid w:val="005F4197"/>
    <w:rsid w:val="005F48C0"/>
    <w:rsid w:val="00600475"/>
    <w:rsid w:val="00600E86"/>
    <w:rsid w:val="0060170B"/>
    <w:rsid w:val="00601F9F"/>
    <w:rsid w:val="00603975"/>
    <w:rsid w:val="00604067"/>
    <w:rsid w:val="006046E0"/>
    <w:rsid w:val="00605724"/>
    <w:rsid w:val="00616597"/>
    <w:rsid w:val="00622C02"/>
    <w:rsid w:val="00623158"/>
    <w:rsid w:val="006278D0"/>
    <w:rsid w:val="0063515B"/>
    <w:rsid w:val="00640B74"/>
    <w:rsid w:val="00641437"/>
    <w:rsid w:val="00643D96"/>
    <w:rsid w:val="006475CC"/>
    <w:rsid w:val="00656333"/>
    <w:rsid w:val="00661FBC"/>
    <w:rsid w:val="006632FA"/>
    <w:rsid w:val="00665CA4"/>
    <w:rsid w:val="00666EC2"/>
    <w:rsid w:val="0067253D"/>
    <w:rsid w:val="00674808"/>
    <w:rsid w:val="006760FD"/>
    <w:rsid w:val="0068002C"/>
    <w:rsid w:val="00681096"/>
    <w:rsid w:val="006814B4"/>
    <w:rsid w:val="006820DD"/>
    <w:rsid w:val="0068390F"/>
    <w:rsid w:val="00685C55"/>
    <w:rsid w:val="00694593"/>
    <w:rsid w:val="006A1113"/>
    <w:rsid w:val="006A14AA"/>
    <w:rsid w:val="006A470A"/>
    <w:rsid w:val="006B50A7"/>
    <w:rsid w:val="006C0765"/>
    <w:rsid w:val="006C4083"/>
    <w:rsid w:val="006D0F15"/>
    <w:rsid w:val="006D0FAA"/>
    <w:rsid w:val="006D5D5D"/>
    <w:rsid w:val="006E1DDA"/>
    <w:rsid w:val="006E2F1C"/>
    <w:rsid w:val="006E30DA"/>
    <w:rsid w:val="006E3FC5"/>
    <w:rsid w:val="006E7A86"/>
    <w:rsid w:val="006F072B"/>
    <w:rsid w:val="006F0BCB"/>
    <w:rsid w:val="006F62E3"/>
    <w:rsid w:val="00701269"/>
    <w:rsid w:val="0070302F"/>
    <w:rsid w:val="00704EC0"/>
    <w:rsid w:val="007062FA"/>
    <w:rsid w:val="0071000F"/>
    <w:rsid w:val="00711B1B"/>
    <w:rsid w:val="00711B95"/>
    <w:rsid w:val="007127B5"/>
    <w:rsid w:val="00712F02"/>
    <w:rsid w:val="00713F9E"/>
    <w:rsid w:val="00715032"/>
    <w:rsid w:val="007174AA"/>
    <w:rsid w:val="007221D9"/>
    <w:rsid w:val="00723447"/>
    <w:rsid w:val="00730139"/>
    <w:rsid w:val="0073063D"/>
    <w:rsid w:val="007318BC"/>
    <w:rsid w:val="00734FCC"/>
    <w:rsid w:val="00740B0E"/>
    <w:rsid w:val="00740B32"/>
    <w:rsid w:val="00741323"/>
    <w:rsid w:val="007466AD"/>
    <w:rsid w:val="00750416"/>
    <w:rsid w:val="00752ED1"/>
    <w:rsid w:val="007610D4"/>
    <w:rsid w:val="00762860"/>
    <w:rsid w:val="0076448A"/>
    <w:rsid w:val="0076657A"/>
    <w:rsid w:val="00767CE4"/>
    <w:rsid w:val="00774EDC"/>
    <w:rsid w:val="007764A1"/>
    <w:rsid w:val="007813B3"/>
    <w:rsid w:val="00786EEC"/>
    <w:rsid w:val="0079398C"/>
    <w:rsid w:val="00795713"/>
    <w:rsid w:val="00797713"/>
    <w:rsid w:val="007A1C2B"/>
    <w:rsid w:val="007A30E1"/>
    <w:rsid w:val="007A4E3C"/>
    <w:rsid w:val="007B1233"/>
    <w:rsid w:val="007B1849"/>
    <w:rsid w:val="007B48C1"/>
    <w:rsid w:val="007B6DEA"/>
    <w:rsid w:val="007C7EFC"/>
    <w:rsid w:val="007D379C"/>
    <w:rsid w:val="007D527D"/>
    <w:rsid w:val="007D69F2"/>
    <w:rsid w:val="007E3DF0"/>
    <w:rsid w:val="007F4837"/>
    <w:rsid w:val="008117C6"/>
    <w:rsid w:val="00812270"/>
    <w:rsid w:val="008139D3"/>
    <w:rsid w:val="0081440B"/>
    <w:rsid w:val="00816D94"/>
    <w:rsid w:val="00817F55"/>
    <w:rsid w:val="00821C0F"/>
    <w:rsid w:val="00827FCE"/>
    <w:rsid w:val="00830F5F"/>
    <w:rsid w:val="0083659B"/>
    <w:rsid w:val="00841700"/>
    <w:rsid w:val="0084649F"/>
    <w:rsid w:val="008506E1"/>
    <w:rsid w:val="008522AD"/>
    <w:rsid w:val="0085748F"/>
    <w:rsid w:val="00862234"/>
    <w:rsid w:val="00863D26"/>
    <w:rsid w:val="00865656"/>
    <w:rsid w:val="00880CFB"/>
    <w:rsid w:val="0088188A"/>
    <w:rsid w:val="00885002"/>
    <w:rsid w:val="00886E7A"/>
    <w:rsid w:val="00890033"/>
    <w:rsid w:val="00894C43"/>
    <w:rsid w:val="00896E84"/>
    <w:rsid w:val="008A1774"/>
    <w:rsid w:val="008A21E6"/>
    <w:rsid w:val="008B1DED"/>
    <w:rsid w:val="008B44A8"/>
    <w:rsid w:val="008B6232"/>
    <w:rsid w:val="008B78FE"/>
    <w:rsid w:val="008C12C6"/>
    <w:rsid w:val="008C22E0"/>
    <w:rsid w:val="008C6408"/>
    <w:rsid w:val="008E3694"/>
    <w:rsid w:val="008E44E3"/>
    <w:rsid w:val="008E6FB9"/>
    <w:rsid w:val="008E75BD"/>
    <w:rsid w:val="008F175C"/>
    <w:rsid w:val="008F1AEE"/>
    <w:rsid w:val="008F2CA7"/>
    <w:rsid w:val="008F43B1"/>
    <w:rsid w:val="008F4704"/>
    <w:rsid w:val="008F51B9"/>
    <w:rsid w:val="00904F88"/>
    <w:rsid w:val="00910BB9"/>
    <w:rsid w:val="00911CCF"/>
    <w:rsid w:val="00920CFD"/>
    <w:rsid w:val="00927273"/>
    <w:rsid w:val="009319F3"/>
    <w:rsid w:val="00936A0B"/>
    <w:rsid w:val="00941942"/>
    <w:rsid w:val="00941DAD"/>
    <w:rsid w:val="009434CD"/>
    <w:rsid w:val="00943721"/>
    <w:rsid w:val="00945BA9"/>
    <w:rsid w:val="009512A5"/>
    <w:rsid w:val="00954BB7"/>
    <w:rsid w:val="00955A49"/>
    <w:rsid w:val="00961E93"/>
    <w:rsid w:val="00963E80"/>
    <w:rsid w:val="00966187"/>
    <w:rsid w:val="0097620A"/>
    <w:rsid w:val="00980513"/>
    <w:rsid w:val="009855AC"/>
    <w:rsid w:val="00985B33"/>
    <w:rsid w:val="00987D70"/>
    <w:rsid w:val="00990535"/>
    <w:rsid w:val="00991452"/>
    <w:rsid w:val="009921F2"/>
    <w:rsid w:val="009974D6"/>
    <w:rsid w:val="009A1DF3"/>
    <w:rsid w:val="009A28FF"/>
    <w:rsid w:val="009A37D7"/>
    <w:rsid w:val="009A5CC2"/>
    <w:rsid w:val="009A64BB"/>
    <w:rsid w:val="009A69F1"/>
    <w:rsid w:val="009B2B2D"/>
    <w:rsid w:val="009B6700"/>
    <w:rsid w:val="009B69CA"/>
    <w:rsid w:val="009B6A86"/>
    <w:rsid w:val="009C2BEB"/>
    <w:rsid w:val="009C7D51"/>
    <w:rsid w:val="009D5B90"/>
    <w:rsid w:val="009D7CAF"/>
    <w:rsid w:val="009E3718"/>
    <w:rsid w:val="009E623A"/>
    <w:rsid w:val="009E6766"/>
    <w:rsid w:val="009F1551"/>
    <w:rsid w:val="009F2081"/>
    <w:rsid w:val="009F42FD"/>
    <w:rsid w:val="009F5805"/>
    <w:rsid w:val="009F6268"/>
    <w:rsid w:val="00A00C8D"/>
    <w:rsid w:val="00A01B23"/>
    <w:rsid w:val="00A10875"/>
    <w:rsid w:val="00A10C5B"/>
    <w:rsid w:val="00A207E9"/>
    <w:rsid w:val="00A22745"/>
    <w:rsid w:val="00A22B5B"/>
    <w:rsid w:val="00A27AB7"/>
    <w:rsid w:val="00A27B3F"/>
    <w:rsid w:val="00A30B60"/>
    <w:rsid w:val="00A32356"/>
    <w:rsid w:val="00A33C8B"/>
    <w:rsid w:val="00A34A56"/>
    <w:rsid w:val="00A34A80"/>
    <w:rsid w:val="00A37FFD"/>
    <w:rsid w:val="00A40913"/>
    <w:rsid w:val="00A40A65"/>
    <w:rsid w:val="00A410B0"/>
    <w:rsid w:val="00A463FB"/>
    <w:rsid w:val="00A506D2"/>
    <w:rsid w:val="00A545C9"/>
    <w:rsid w:val="00A54F06"/>
    <w:rsid w:val="00A5554D"/>
    <w:rsid w:val="00A56230"/>
    <w:rsid w:val="00A64DAB"/>
    <w:rsid w:val="00A65C79"/>
    <w:rsid w:val="00A71E48"/>
    <w:rsid w:val="00A71FE4"/>
    <w:rsid w:val="00A7226B"/>
    <w:rsid w:val="00A7239D"/>
    <w:rsid w:val="00A74677"/>
    <w:rsid w:val="00A7634B"/>
    <w:rsid w:val="00A77D4D"/>
    <w:rsid w:val="00A903E8"/>
    <w:rsid w:val="00A91029"/>
    <w:rsid w:val="00A919D8"/>
    <w:rsid w:val="00A9427E"/>
    <w:rsid w:val="00AA4727"/>
    <w:rsid w:val="00AA4EB0"/>
    <w:rsid w:val="00AC292E"/>
    <w:rsid w:val="00AC3CD7"/>
    <w:rsid w:val="00AC410B"/>
    <w:rsid w:val="00AD29D0"/>
    <w:rsid w:val="00AD5692"/>
    <w:rsid w:val="00AD612D"/>
    <w:rsid w:val="00AD69A9"/>
    <w:rsid w:val="00AF0745"/>
    <w:rsid w:val="00AF726C"/>
    <w:rsid w:val="00AF7582"/>
    <w:rsid w:val="00AF7DAF"/>
    <w:rsid w:val="00B0187B"/>
    <w:rsid w:val="00B02102"/>
    <w:rsid w:val="00B02B45"/>
    <w:rsid w:val="00B10C24"/>
    <w:rsid w:val="00B14861"/>
    <w:rsid w:val="00B212FF"/>
    <w:rsid w:val="00B22C1A"/>
    <w:rsid w:val="00B30563"/>
    <w:rsid w:val="00B34186"/>
    <w:rsid w:val="00B34DCF"/>
    <w:rsid w:val="00B3547D"/>
    <w:rsid w:val="00B41220"/>
    <w:rsid w:val="00B41708"/>
    <w:rsid w:val="00B60F9D"/>
    <w:rsid w:val="00B6566F"/>
    <w:rsid w:val="00B67DF7"/>
    <w:rsid w:val="00B67E0C"/>
    <w:rsid w:val="00B71B87"/>
    <w:rsid w:val="00B753A3"/>
    <w:rsid w:val="00B82427"/>
    <w:rsid w:val="00B83304"/>
    <w:rsid w:val="00B83426"/>
    <w:rsid w:val="00B83D81"/>
    <w:rsid w:val="00B85E61"/>
    <w:rsid w:val="00B8771E"/>
    <w:rsid w:val="00B93C94"/>
    <w:rsid w:val="00B93F72"/>
    <w:rsid w:val="00B95E40"/>
    <w:rsid w:val="00B965DA"/>
    <w:rsid w:val="00B97E10"/>
    <w:rsid w:val="00BA5397"/>
    <w:rsid w:val="00BA6C97"/>
    <w:rsid w:val="00BA6FA1"/>
    <w:rsid w:val="00BB0118"/>
    <w:rsid w:val="00BB1938"/>
    <w:rsid w:val="00BB7C0D"/>
    <w:rsid w:val="00BC6414"/>
    <w:rsid w:val="00BD3458"/>
    <w:rsid w:val="00BD5D0A"/>
    <w:rsid w:val="00BE010D"/>
    <w:rsid w:val="00BE1B38"/>
    <w:rsid w:val="00BE20DD"/>
    <w:rsid w:val="00BE492A"/>
    <w:rsid w:val="00BF1642"/>
    <w:rsid w:val="00BF3621"/>
    <w:rsid w:val="00BF39A7"/>
    <w:rsid w:val="00BF773F"/>
    <w:rsid w:val="00C021F9"/>
    <w:rsid w:val="00C05730"/>
    <w:rsid w:val="00C071EB"/>
    <w:rsid w:val="00C1020F"/>
    <w:rsid w:val="00C149D9"/>
    <w:rsid w:val="00C23CB5"/>
    <w:rsid w:val="00C24714"/>
    <w:rsid w:val="00C24F65"/>
    <w:rsid w:val="00C3245D"/>
    <w:rsid w:val="00C34DCE"/>
    <w:rsid w:val="00C34EF1"/>
    <w:rsid w:val="00C35E3F"/>
    <w:rsid w:val="00C42BCB"/>
    <w:rsid w:val="00C42DC8"/>
    <w:rsid w:val="00C43310"/>
    <w:rsid w:val="00C44821"/>
    <w:rsid w:val="00C529D9"/>
    <w:rsid w:val="00C5621E"/>
    <w:rsid w:val="00C56FAF"/>
    <w:rsid w:val="00C60F5E"/>
    <w:rsid w:val="00C72FDF"/>
    <w:rsid w:val="00C7543E"/>
    <w:rsid w:val="00C76D2F"/>
    <w:rsid w:val="00C81CB6"/>
    <w:rsid w:val="00C9030F"/>
    <w:rsid w:val="00C94E65"/>
    <w:rsid w:val="00CA1AD4"/>
    <w:rsid w:val="00CA250A"/>
    <w:rsid w:val="00CA58E6"/>
    <w:rsid w:val="00CA7414"/>
    <w:rsid w:val="00CB30A3"/>
    <w:rsid w:val="00CB406E"/>
    <w:rsid w:val="00CC3A2E"/>
    <w:rsid w:val="00CC4185"/>
    <w:rsid w:val="00CC5347"/>
    <w:rsid w:val="00CC6A38"/>
    <w:rsid w:val="00CC7369"/>
    <w:rsid w:val="00CC7AB5"/>
    <w:rsid w:val="00CD24F6"/>
    <w:rsid w:val="00CD3698"/>
    <w:rsid w:val="00CD4107"/>
    <w:rsid w:val="00CD57DE"/>
    <w:rsid w:val="00CD58E2"/>
    <w:rsid w:val="00CD6184"/>
    <w:rsid w:val="00CD7C58"/>
    <w:rsid w:val="00CE1B0E"/>
    <w:rsid w:val="00CE2F08"/>
    <w:rsid w:val="00CE4BBD"/>
    <w:rsid w:val="00CE4CD8"/>
    <w:rsid w:val="00CE4D71"/>
    <w:rsid w:val="00CF1B8A"/>
    <w:rsid w:val="00D00803"/>
    <w:rsid w:val="00D00ED6"/>
    <w:rsid w:val="00D0339B"/>
    <w:rsid w:val="00D03B20"/>
    <w:rsid w:val="00D072E4"/>
    <w:rsid w:val="00D07828"/>
    <w:rsid w:val="00D07F65"/>
    <w:rsid w:val="00D10659"/>
    <w:rsid w:val="00D116C3"/>
    <w:rsid w:val="00D131D1"/>
    <w:rsid w:val="00D2035B"/>
    <w:rsid w:val="00D2207A"/>
    <w:rsid w:val="00D26E14"/>
    <w:rsid w:val="00D306D7"/>
    <w:rsid w:val="00D3079C"/>
    <w:rsid w:val="00D32A5F"/>
    <w:rsid w:val="00D34CBA"/>
    <w:rsid w:val="00D35E26"/>
    <w:rsid w:val="00D40BD4"/>
    <w:rsid w:val="00D41643"/>
    <w:rsid w:val="00D42641"/>
    <w:rsid w:val="00D43E1D"/>
    <w:rsid w:val="00D45852"/>
    <w:rsid w:val="00D46C7B"/>
    <w:rsid w:val="00D46DF3"/>
    <w:rsid w:val="00D47736"/>
    <w:rsid w:val="00D60018"/>
    <w:rsid w:val="00D607D2"/>
    <w:rsid w:val="00D63537"/>
    <w:rsid w:val="00D63D82"/>
    <w:rsid w:val="00D65D65"/>
    <w:rsid w:val="00D77EBB"/>
    <w:rsid w:val="00D854E8"/>
    <w:rsid w:val="00D873F2"/>
    <w:rsid w:val="00D9108C"/>
    <w:rsid w:val="00D9260B"/>
    <w:rsid w:val="00D9285E"/>
    <w:rsid w:val="00D93242"/>
    <w:rsid w:val="00D94085"/>
    <w:rsid w:val="00D95612"/>
    <w:rsid w:val="00DA373B"/>
    <w:rsid w:val="00DA3CAD"/>
    <w:rsid w:val="00DB19C5"/>
    <w:rsid w:val="00DB3EB8"/>
    <w:rsid w:val="00DB5FF4"/>
    <w:rsid w:val="00DB68D9"/>
    <w:rsid w:val="00DB7B9C"/>
    <w:rsid w:val="00DC3710"/>
    <w:rsid w:val="00DC6307"/>
    <w:rsid w:val="00DC63B7"/>
    <w:rsid w:val="00DD08B6"/>
    <w:rsid w:val="00DD3238"/>
    <w:rsid w:val="00DD3F3C"/>
    <w:rsid w:val="00DD5099"/>
    <w:rsid w:val="00DD70E0"/>
    <w:rsid w:val="00DD748E"/>
    <w:rsid w:val="00DE10B6"/>
    <w:rsid w:val="00DE2090"/>
    <w:rsid w:val="00DE6A69"/>
    <w:rsid w:val="00DF0D61"/>
    <w:rsid w:val="00DF2BCB"/>
    <w:rsid w:val="00DF6D5F"/>
    <w:rsid w:val="00E00098"/>
    <w:rsid w:val="00E021E6"/>
    <w:rsid w:val="00E05809"/>
    <w:rsid w:val="00E06169"/>
    <w:rsid w:val="00E06FD2"/>
    <w:rsid w:val="00E0769C"/>
    <w:rsid w:val="00E12001"/>
    <w:rsid w:val="00E13016"/>
    <w:rsid w:val="00E21CF5"/>
    <w:rsid w:val="00E22A57"/>
    <w:rsid w:val="00E24A61"/>
    <w:rsid w:val="00E26270"/>
    <w:rsid w:val="00E265A0"/>
    <w:rsid w:val="00E32A7D"/>
    <w:rsid w:val="00E3365B"/>
    <w:rsid w:val="00E35CBB"/>
    <w:rsid w:val="00E373E5"/>
    <w:rsid w:val="00E412B0"/>
    <w:rsid w:val="00E448EC"/>
    <w:rsid w:val="00E51ADC"/>
    <w:rsid w:val="00E53797"/>
    <w:rsid w:val="00E614F5"/>
    <w:rsid w:val="00E62100"/>
    <w:rsid w:val="00E622D8"/>
    <w:rsid w:val="00E62D71"/>
    <w:rsid w:val="00E63DFB"/>
    <w:rsid w:val="00E65426"/>
    <w:rsid w:val="00E6557D"/>
    <w:rsid w:val="00E66B24"/>
    <w:rsid w:val="00E67033"/>
    <w:rsid w:val="00E7548B"/>
    <w:rsid w:val="00E7658B"/>
    <w:rsid w:val="00E776B6"/>
    <w:rsid w:val="00E77F07"/>
    <w:rsid w:val="00E81C1D"/>
    <w:rsid w:val="00E830A5"/>
    <w:rsid w:val="00E83F66"/>
    <w:rsid w:val="00E84434"/>
    <w:rsid w:val="00E849AE"/>
    <w:rsid w:val="00E90C50"/>
    <w:rsid w:val="00EB12B8"/>
    <w:rsid w:val="00EB1711"/>
    <w:rsid w:val="00EB2EF8"/>
    <w:rsid w:val="00EB5853"/>
    <w:rsid w:val="00EB6BFB"/>
    <w:rsid w:val="00EB7F91"/>
    <w:rsid w:val="00EC1767"/>
    <w:rsid w:val="00EC40A6"/>
    <w:rsid w:val="00EC4C14"/>
    <w:rsid w:val="00EC4F92"/>
    <w:rsid w:val="00EC5E89"/>
    <w:rsid w:val="00ED6A7F"/>
    <w:rsid w:val="00ED7A0F"/>
    <w:rsid w:val="00EE20DA"/>
    <w:rsid w:val="00EE58CB"/>
    <w:rsid w:val="00EE7B3F"/>
    <w:rsid w:val="00EF0A33"/>
    <w:rsid w:val="00EF490B"/>
    <w:rsid w:val="00EF5FD2"/>
    <w:rsid w:val="00EF65C7"/>
    <w:rsid w:val="00F03601"/>
    <w:rsid w:val="00F037CC"/>
    <w:rsid w:val="00F03D66"/>
    <w:rsid w:val="00F06876"/>
    <w:rsid w:val="00F122A4"/>
    <w:rsid w:val="00F13C4A"/>
    <w:rsid w:val="00F17A3B"/>
    <w:rsid w:val="00F20B83"/>
    <w:rsid w:val="00F2377B"/>
    <w:rsid w:val="00F24D95"/>
    <w:rsid w:val="00F353B5"/>
    <w:rsid w:val="00F36183"/>
    <w:rsid w:val="00F41242"/>
    <w:rsid w:val="00F42736"/>
    <w:rsid w:val="00F43929"/>
    <w:rsid w:val="00F47AB8"/>
    <w:rsid w:val="00F5319C"/>
    <w:rsid w:val="00F54A77"/>
    <w:rsid w:val="00F55AF9"/>
    <w:rsid w:val="00F55D63"/>
    <w:rsid w:val="00F6103D"/>
    <w:rsid w:val="00F6154A"/>
    <w:rsid w:val="00F66367"/>
    <w:rsid w:val="00F679D3"/>
    <w:rsid w:val="00F714E8"/>
    <w:rsid w:val="00F71E30"/>
    <w:rsid w:val="00F7322A"/>
    <w:rsid w:val="00F74CC6"/>
    <w:rsid w:val="00F77458"/>
    <w:rsid w:val="00F80DAC"/>
    <w:rsid w:val="00F81D6A"/>
    <w:rsid w:val="00F8691D"/>
    <w:rsid w:val="00F86B2F"/>
    <w:rsid w:val="00F903C7"/>
    <w:rsid w:val="00F9059D"/>
    <w:rsid w:val="00F94803"/>
    <w:rsid w:val="00F94A26"/>
    <w:rsid w:val="00F9613C"/>
    <w:rsid w:val="00F973EB"/>
    <w:rsid w:val="00FA1D39"/>
    <w:rsid w:val="00FA1D6A"/>
    <w:rsid w:val="00FA2659"/>
    <w:rsid w:val="00FA624D"/>
    <w:rsid w:val="00FA6E94"/>
    <w:rsid w:val="00FA7832"/>
    <w:rsid w:val="00FB106F"/>
    <w:rsid w:val="00FB3B38"/>
    <w:rsid w:val="00FB48BF"/>
    <w:rsid w:val="00FC29A3"/>
    <w:rsid w:val="00FC4A30"/>
    <w:rsid w:val="00FC6397"/>
    <w:rsid w:val="00FD4130"/>
    <w:rsid w:val="00FE2F51"/>
    <w:rsid w:val="00FE304D"/>
    <w:rsid w:val="00FE757B"/>
    <w:rsid w:val="0B82E13A"/>
    <w:rsid w:val="117E004C"/>
    <w:rsid w:val="1806EE38"/>
    <w:rsid w:val="1F679E7D"/>
    <w:rsid w:val="201BDEEA"/>
    <w:rsid w:val="21A622F7"/>
    <w:rsid w:val="28664D35"/>
    <w:rsid w:val="2BE706F0"/>
    <w:rsid w:val="2CCBC435"/>
    <w:rsid w:val="2E0C6B68"/>
    <w:rsid w:val="31931BAE"/>
    <w:rsid w:val="3A019347"/>
    <w:rsid w:val="3F308279"/>
    <w:rsid w:val="53971FE0"/>
    <w:rsid w:val="5A74ADC3"/>
    <w:rsid w:val="7889E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1615"/>
  <w15:chartTrackingRefBased/>
  <w15:docId w15:val="{6F1058B2-379A-4D22-9AEF-2490440B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52"/>
  </w:style>
  <w:style w:type="paragraph" w:styleId="Footer">
    <w:name w:val="footer"/>
    <w:basedOn w:val="Normal"/>
    <w:link w:val="FooterChar"/>
    <w:uiPriority w:val="99"/>
    <w:unhideWhenUsed/>
    <w:rsid w:val="00991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52"/>
  </w:style>
  <w:style w:type="table" w:styleId="TableGrid">
    <w:name w:val="Table Grid"/>
    <w:basedOn w:val="TableNormal"/>
    <w:uiPriority w:val="39"/>
    <w:rsid w:val="0099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B6232"/>
    <w:rPr>
      <w:color w:val="0000FF"/>
      <w:u w:val="single"/>
    </w:rPr>
  </w:style>
  <w:style w:type="character" w:styleId="UnresolvedMention">
    <w:name w:val="Unresolved Mention"/>
    <w:basedOn w:val="DefaultParagraphFont"/>
    <w:uiPriority w:val="99"/>
    <w:semiHidden/>
    <w:unhideWhenUsed/>
    <w:rsid w:val="00442AF7"/>
    <w:rPr>
      <w:color w:val="605E5C"/>
      <w:shd w:val="clear" w:color="auto" w:fill="E1DFDD"/>
    </w:rPr>
  </w:style>
  <w:style w:type="paragraph" w:styleId="ListParagraph">
    <w:name w:val="List Paragraph"/>
    <w:basedOn w:val="Normal"/>
    <w:uiPriority w:val="34"/>
    <w:qFormat/>
    <w:rsid w:val="006D5D5D"/>
    <w:pPr>
      <w:ind w:left="720"/>
      <w:contextualSpacing/>
    </w:pPr>
  </w:style>
  <w:style w:type="character" w:styleId="CommentReference">
    <w:name w:val="annotation reference"/>
    <w:basedOn w:val="DefaultParagraphFont"/>
    <w:uiPriority w:val="99"/>
    <w:semiHidden/>
    <w:unhideWhenUsed/>
    <w:rsid w:val="002C20CB"/>
    <w:rPr>
      <w:sz w:val="16"/>
      <w:szCs w:val="16"/>
    </w:rPr>
  </w:style>
  <w:style w:type="paragraph" w:styleId="CommentText">
    <w:name w:val="annotation text"/>
    <w:basedOn w:val="Normal"/>
    <w:link w:val="CommentTextChar"/>
    <w:uiPriority w:val="99"/>
    <w:unhideWhenUsed/>
    <w:rsid w:val="002C20CB"/>
    <w:pPr>
      <w:spacing w:line="240" w:lineRule="auto"/>
    </w:pPr>
    <w:rPr>
      <w:sz w:val="20"/>
      <w:szCs w:val="20"/>
    </w:rPr>
  </w:style>
  <w:style w:type="character" w:customStyle="1" w:styleId="CommentTextChar">
    <w:name w:val="Comment Text Char"/>
    <w:basedOn w:val="DefaultParagraphFont"/>
    <w:link w:val="CommentText"/>
    <w:uiPriority w:val="99"/>
    <w:rsid w:val="002C20CB"/>
    <w:rPr>
      <w:sz w:val="20"/>
      <w:szCs w:val="20"/>
    </w:rPr>
  </w:style>
  <w:style w:type="paragraph" w:styleId="CommentSubject">
    <w:name w:val="annotation subject"/>
    <w:basedOn w:val="CommentText"/>
    <w:next w:val="CommentText"/>
    <w:link w:val="CommentSubjectChar"/>
    <w:uiPriority w:val="99"/>
    <w:semiHidden/>
    <w:unhideWhenUsed/>
    <w:rsid w:val="002C20CB"/>
    <w:rPr>
      <w:b/>
      <w:bCs/>
    </w:rPr>
  </w:style>
  <w:style w:type="character" w:customStyle="1" w:styleId="CommentSubjectChar">
    <w:name w:val="Comment Subject Char"/>
    <w:basedOn w:val="CommentTextChar"/>
    <w:link w:val="CommentSubject"/>
    <w:uiPriority w:val="99"/>
    <w:semiHidden/>
    <w:rsid w:val="002C20CB"/>
    <w:rPr>
      <w:b/>
      <w:bCs/>
      <w:sz w:val="20"/>
      <w:szCs w:val="20"/>
    </w:rPr>
  </w:style>
  <w:style w:type="character" w:styleId="FollowedHyperlink">
    <w:name w:val="FollowedHyperlink"/>
    <w:basedOn w:val="DefaultParagraphFont"/>
    <w:uiPriority w:val="99"/>
    <w:semiHidden/>
    <w:unhideWhenUsed/>
    <w:rsid w:val="00B83D81"/>
    <w:rPr>
      <w:color w:val="954F72" w:themeColor="followedHyperlink"/>
      <w:u w:val="single"/>
    </w:rPr>
  </w:style>
  <w:style w:type="paragraph" w:styleId="Revision">
    <w:name w:val="Revision"/>
    <w:hidden/>
    <w:uiPriority w:val="99"/>
    <w:semiHidden/>
    <w:rsid w:val="00B212FF"/>
    <w:pPr>
      <w:spacing w:after="0" w:line="240" w:lineRule="auto"/>
    </w:pPr>
  </w:style>
  <w:style w:type="character" w:styleId="Mention">
    <w:name w:val="Mention"/>
    <w:basedOn w:val="DefaultParagraphFont"/>
    <w:uiPriority w:val="99"/>
    <w:unhideWhenUsed/>
    <w:rsid w:val="00B212FF"/>
    <w:rPr>
      <w:color w:val="2B579A"/>
      <w:shd w:val="clear" w:color="auto" w:fill="E6E6E6"/>
    </w:rPr>
  </w:style>
  <w:style w:type="paragraph" w:customStyle="1" w:styleId="Default">
    <w:name w:val="Default"/>
    <w:rsid w:val="0002385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2">
    <w:name w:val="Body Text 2"/>
    <w:basedOn w:val="Normal"/>
    <w:link w:val="BodyText2Char"/>
    <w:rsid w:val="00C24714"/>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2471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5640">
      <w:bodyDiv w:val="1"/>
      <w:marLeft w:val="0"/>
      <w:marRight w:val="0"/>
      <w:marTop w:val="0"/>
      <w:marBottom w:val="0"/>
      <w:divBdr>
        <w:top w:val="none" w:sz="0" w:space="0" w:color="auto"/>
        <w:left w:val="none" w:sz="0" w:space="0" w:color="auto"/>
        <w:bottom w:val="none" w:sz="0" w:space="0" w:color="auto"/>
        <w:right w:val="none" w:sz="0" w:space="0" w:color="auto"/>
      </w:divBdr>
    </w:div>
    <w:div w:id="887882790">
      <w:bodyDiv w:val="1"/>
      <w:marLeft w:val="0"/>
      <w:marRight w:val="0"/>
      <w:marTop w:val="0"/>
      <w:marBottom w:val="0"/>
      <w:divBdr>
        <w:top w:val="none" w:sz="0" w:space="0" w:color="auto"/>
        <w:left w:val="none" w:sz="0" w:space="0" w:color="auto"/>
        <w:bottom w:val="none" w:sz="0" w:space="0" w:color="auto"/>
        <w:right w:val="none" w:sz="0" w:space="0" w:color="auto"/>
      </w:divBdr>
    </w:div>
    <w:div w:id="1175458539">
      <w:bodyDiv w:val="1"/>
      <w:marLeft w:val="0"/>
      <w:marRight w:val="0"/>
      <w:marTop w:val="0"/>
      <w:marBottom w:val="0"/>
      <w:divBdr>
        <w:top w:val="none" w:sz="0" w:space="0" w:color="auto"/>
        <w:left w:val="none" w:sz="0" w:space="0" w:color="auto"/>
        <w:bottom w:val="none" w:sz="0" w:space="0" w:color="auto"/>
        <w:right w:val="none" w:sz="0" w:space="0" w:color="auto"/>
      </w:divBdr>
    </w:div>
    <w:div w:id="1262759917">
      <w:bodyDiv w:val="1"/>
      <w:marLeft w:val="0"/>
      <w:marRight w:val="0"/>
      <w:marTop w:val="0"/>
      <w:marBottom w:val="0"/>
      <w:divBdr>
        <w:top w:val="none" w:sz="0" w:space="0" w:color="auto"/>
        <w:left w:val="none" w:sz="0" w:space="0" w:color="auto"/>
        <w:bottom w:val="none" w:sz="0" w:space="0" w:color="auto"/>
        <w:right w:val="none" w:sz="0" w:space="0" w:color="auto"/>
      </w:divBdr>
    </w:div>
    <w:div w:id="1946419347">
      <w:bodyDiv w:val="1"/>
      <w:marLeft w:val="0"/>
      <w:marRight w:val="0"/>
      <w:marTop w:val="0"/>
      <w:marBottom w:val="0"/>
      <w:divBdr>
        <w:top w:val="none" w:sz="0" w:space="0" w:color="auto"/>
        <w:left w:val="none" w:sz="0" w:space="0" w:color="auto"/>
        <w:bottom w:val="none" w:sz="0" w:space="0" w:color="auto"/>
        <w:right w:val="none" w:sz="0" w:space="0" w:color="auto"/>
      </w:divBdr>
    </w:div>
    <w:div w:id="19849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bwm.gov.uk/media/2074/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B83C533C21349914D31ED195BD449" ma:contentTypeVersion="18" ma:contentTypeDescription="Create a new document." ma:contentTypeScope="" ma:versionID="e4b4ff1de7d3c6a0e133cc6f88493559">
  <xsd:schema xmlns:xsd="http://www.w3.org/2001/XMLSchema" xmlns:xs="http://www.w3.org/2001/XMLSchema" xmlns:p="http://schemas.microsoft.com/office/2006/metadata/properties" xmlns:ns3="6abb27e4-6e52-4f2a-9e3f-1415e1b31b3e" xmlns:ns4="43832f0a-6cae-4ca5-aeb8-7541bc26d6b4" targetNamespace="http://schemas.microsoft.com/office/2006/metadata/properties" ma:root="true" ma:fieldsID="a2ffe77c72def3d6986d1acb38d33979" ns3:_="" ns4:_="">
    <xsd:import namespace="6abb27e4-6e52-4f2a-9e3f-1415e1b31b3e"/>
    <xsd:import namespace="43832f0a-6cae-4ca5-aeb8-7541bc26d6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27e4-6e52-4f2a-9e3f-1415e1b31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32f0a-6cae-4ca5-aeb8-7541bc26d6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3832f0a-6cae-4ca5-aeb8-7541bc26d6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2423B-D3A6-4A92-BA18-AF23635C8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27e4-6e52-4f2a-9e3f-1415e1b31b3e"/>
    <ds:schemaRef ds:uri="43832f0a-6cae-4ca5-aeb8-7541bc26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5569C-2D3C-4BCE-8E96-C157381400BA}">
  <ds:schemaRefs>
    <ds:schemaRef ds:uri="http://schemas.microsoft.com/office/2006/metadata/properties"/>
    <ds:schemaRef ds:uri="http://schemas.microsoft.com/office/infopath/2007/PartnerControls"/>
    <ds:schemaRef ds:uri="43832f0a-6cae-4ca5-aeb8-7541bc26d6b4"/>
  </ds:schemaRefs>
</ds:datastoreItem>
</file>

<file path=customXml/itemProps3.xml><?xml version="1.0" encoding="utf-8"?>
<ds:datastoreItem xmlns:ds="http://schemas.openxmlformats.org/officeDocument/2006/customXml" ds:itemID="{0EC0F2BE-E850-4CEE-94F3-BBB0CF355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Evaluation Request Form (with JD template)</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Request Form (with JD template)</dc:title>
  <dc:subject/>
  <dc:creator>Yoko Lai</dc:creator>
  <cp:keywords>Job evaluation</cp:keywords>
  <dc:description/>
  <cp:lastModifiedBy>Hafsah Jamil</cp:lastModifiedBy>
  <cp:revision>2</cp:revision>
  <dcterms:created xsi:type="dcterms:W3CDTF">2026-05-22T10:38:00Z</dcterms:created>
  <dcterms:modified xsi:type="dcterms:W3CDTF">2026-05-22T10:38:00Z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0x01010036BB83C533C21349914D31ED195BD449</vt:lpwstr>
  </property>
  <property fmtid="{D5CDD505-2E9C-101B-9397-08002B2CF9AE}" pid="3" name="_dlc_policyId">
    <vt:lpwstr>0x0101002ECE172AD4144F4085DB9231399A38BC|-492883621</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TaxKeyword">
    <vt:lpwstr>1393;#Job evaluation|2af77be1-fda5-459d-b233-7c4c585e4d3c</vt:lpwstr>
  </property>
  <property fmtid="{D5CDD505-2E9C-101B-9397-08002B2CF9AE}" pid="6" name="rbwmOwningService">
    <vt:lpwstr>5;#Human Resources|37d8280d-e6e5-47be-a637-d5f8693727c7</vt:lpwstr>
  </property>
</Properties>
</file>