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07B49" w14:textId="77777777" w:rsidR="003C4AEF" w:rsidRDefault="006B5F56">
      <w:pPr>
        <w:pBdr>
          <w:top w:val="nil"/>
          <w:left w:val="nil"/>
          <w:bottom w:val="nil"/>
          <w:right w:val="nil"/>
          <w:between w:val="nil"/>
        </w:pBdr>
        <w:spacing w:before="360" w:after="0" w:line="288" w:lineRule="auto"/>
        <w:jc w:val="center"/>
        <w:rPr>
          <w:rFonts w:ascii="Arial" w:eastAsia="Arial" w:hAnsi="Arial" w:cs="Arial"/>
          <w:color w:val="000000"/>
          <w:sz w:val="28"/>
          <w:szCs w:val="28"/>
          <w:u w:val="single"/>
        </w:rPr>
      </w:pPr>
      <w:r>
        <w:rPr>
          <w:rFonts w:ascii="Arial" w:eastAsia="Arial" w:hAnsi="Arial" w:cs="Arial"/>
          <w:b/>
          <w:noProof/>
          <w:color w:val="000000"/>
          <w:sz w:val="28"/>
          <w:szCs w:val="28"/>
        </w:rPr>
        <w:drawing>
          <wp:inline distT="0" distB="0" distL="0" distR="0" wp14:anchorId="6A56F027" wp14:editId="2447E8FA">
            <wp:extent cx="1325880" cy="1211580"/>
            <wp:effectExtent l="0" t="0" r="0" b="0"/>
            <wp:docPr id="2" name="image1.jpg" descr="723ADE7D"/>
            <wp:cNvGraphicFramePr/>
            <a:graphic xmlns:a="http://schemas.openxmlformats.org/drawingml/2006/main">
              <a:graphicData uri="http://schemas.openxmlformats.org/drawingml/2006/picture">
                <pic:pic xmlns:pic="http://schemas.openxmlformats.org/drawingml/2006/picture">
                  <pic:nvPicPr>
                    <pic:cNvPr id="0" name="image1.jpg" descr="723ADE7D"/>
                    <pic:cNvPicPr preferRelativeResize="0"/>
                  </pic:nvPicPr>
                  <pic:blipFill>
                    <a:blip r:embed="rId8"/>
                    <a:srcRect/>
                    <a:stretch>
                      <a:fillRect/>
                    </a:stretch>
                  </pic:blipFill>
                  <pic:spPr>
                    <a:xfrm>
                      <a:off x="0" y="0"/>
                      <a:ext cx="1325880" cy="1211580"/>
                    </a:xfrm>
                    <a:prstGeom prst="rect">
                      <a:avLst/>
                    </a:prstGeom>
                    <a:ln/>
                  </pic:spPr>
                </pic:pic>
              </a:graphicData>
            </a:graphic>
          </wp:inline>
        </w:drawing>
      </w:r>
    </w:p>
    <w:p w14:paraId="2AF67983" w14:textId="77777777" w:rsidR="003C4AEF" w:rsidRDefault="006B5F56">
      <w:pPr>
        <w:pBdr>
          <w:top w:val="nil"/>
          <w:left w:val="nil"/>
          <w:bottom w:val="nil"/>
          <w:right w:val="nil"/>
          <w:between w:val="nil"/>
        </w:pBdr>
        <w:spacing w:before="360" w:after="0" w:line="288" w:lineRule="auto"/>
        <w:jc w:val="center"/>
        <w:rPr>
          <w:b/>
          <w:color w:val="000000"/>
          <w:sz w:val="28"/>
          <w:szCs w:val="28"/>
        </w:rPr>
      </w:pPr>
      <w:r>
        <w:rPr>
          <w:b/>
          <w:color w:val="000000"/>
          <w:sz w:val="28"/>
          <w:szCs w:val="28"/>
        </w:rPr>
        <w:t>MODEL CONSENT TO OBTAIN REFERENCES FORM</w:t>
      </w:r>
    </w:p>
    <w:p w14:paraId="4CA04FD6" w14:textId="77777777" w:rsidR="003C4AEF" w:rsidRDefault="003C4AEF">
      <w:pPr>
        <w:jc w:val="both"/>
      </w:pPr>
    </w:p>
    <w:p w14:paraId="3D2395E4" w14:textId="77777777" w:rsidR="003C4AEF" w:rsidRDefault="006B5F56">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w:t>
      </w:r>
      <w:r>
        <w:t>l be contacted to provide clarification as appropriate.  All information provided by referees will also be compared, for consistency, with the information Applicants have provided on their application form with the intention that questions will be asked du</w:t>
      </w:r>
      <w:r>
        <w:t xml:space="preserve">ring interview if there are discrepancies.  </w:t>
      </w:r>
    </w:p>
    <w:p w14:paraId="193A1ACE" w14:textId="77777777" w:rsidR="003C4AEF" w:rsidRDefault="006B5F56">
      <w:pPr>
        <w:jc w:val="both"/>
      </w:pPr>
      <w:r>
        <w:t>Referees will be asked to verify the contents of an Applicant’s application form (where they are relevant) and will also be asked for information about:</w:t>
      </w:r>
    </w:p>
    <w:p w14:paraId="6523158B" w14:textId="77777777" w:rsidR="003C4AEF" w:rsidRDefault="006B5F56">
      <w:pPr>
        <w:numPr>
          <w:ilvl w:val="0"/>
          <w:numId w:val="1"/>
        </w:numPr>
        <w:pBdr>
          <w:top w:val="nil"/>
          <w:left w:val="nil"/>
          <w:bottom w:val="nil"/>
          <w:right w:val="nil"/>
          <w:between w:val="nil"/>
        </w:pBdr>
        <w:spacing w:after="0"/>
        <w:jc w:val="both"/>
      </w:pPr>
      <w:r>
        <w:rPr>
          <w:color w:val="000000"/>
        </w:rPr>
        <w:t>All disciplinary offences (including those where the penal</w:t>
      </w:r>
      <w:r>
        <w:rPr>
          <w:color w:val="000000"/>
        </w:rPr>
        <w:t>ty is “time expired” if related to children; and</w:t>
      </w:r>
    </w:p>
    <w:p w14:paraId="0DFE64FE" w14:textId="77777777" w:rsidR="003C4AEF" w:rsidRDefault="006B5F56">
      <w:pPr>
        <w:numPr>
          <w:ilvl w:val="0"/>
          <w:numId w:val="1"/>
        </w:numPr>
        <w:pBdr>
          <w:top w:val="nil"/>
          <w:left w:val="nil"/>
          <w:bottom w:val="nil"/>
          <w:right w:val="nil"/>
          <w:between w:val="nil"/>
        </w:pBdr>
        <w:jc w:val="both"/>
      </w:pPr>
      <w:r>
        <w:rPr>
          <w:color w:val="000000"/>
        </w:rPr>
        <w:t>All child protection allegations including the outcome of any child protection investigations.</w:t>
      </w:r>
    </w:p>
    <w:p w14:paraId="73752289" w14:textId="77777777" w:rsidR="003C4AEF" w:rsidRDefault="006B5F56">
      <w:pPr>
        <w:jc w:val="both"/>
      </w:pPr>
      <w:r>
        <w:t>We will also ask about an Applicant’s performance history including details of any capability concerns (includin</w:t>
      </w:r>
      <w:r>
        <w:t>g attendance issues).</w:t>
      </w:r>
    </w:p>
    <w:p w14:paraId="6FBADFCC" w14:textId="77777777" w:rsidR="003C4AEF" w:rsidRDefault="006B5F56">
      <w:pPr>
        <w:jc w:val="both"/>
        <w:rPr>
          <w:b/>
          <w:sz w:val="28"/>
          <w:szCs w:val="28"/>
        </w:rPr>
      </w:pPr>
      <w:r>
        <w:rPr>
          <w:b/>
          <w:sz w:val="28"/>
          <w:szCs w:val="28"/>
        </w:rPr>
        <w:t>Request for your consent</w:t>
      </w:r>
    </w:p>
    <w:p w14:paraId="6F288307" w14:textId="77777777" w:rsidR="003C4AEF" w:rsidRDefault="006B5F56">
      <w:pPr>
        <w:jc w:val="both"/>
      </w:pPr>
      <w:r>
        <w:t>In compliance with the General Data Protection Regulation (GDPR), we wish to ensure you are aware of the purpose for which we are requesting your consent to collect and process the data we will be asking for w</w:t>
      </w:r>
      <w:r>
        <w:t>hen we contact your referees.</w:t>
      </w:r>
    </w:p>
    <w:p w14:paraId="00378F5E" w14:textId="77777777" w:rsidR="003C4AEF" w:rsidRDefault="003C4AEF">
      <w:pPr>
        <w:jc w:val="both"/>
        <w:rPr>
          <w:b/>
          <w:u w:val="single"/>
        </w:rPr>
      </w:pPr>
    </w:p>
    <w:p w14:paraId="6E83CB4F" w14:textId="77777777" w:rsidR="003C4AEF" w:rsidRDefault="006B5F56">
      <w:pPr>
        <w:numPr>
          <w:ilvl w:val="0"/>
          <w:numId w:val="2"/>
        </w:numPr>
        <w:pBdr>
          <w:top w:val="nil"/>
          <w:left w:val="nil"/>
          <w:bottom w:val="nil"/>
          <w:right w:val="nil"/>
          <w:between w:val="nil"/>
        </w:pBdr>
        <w:spacing w:after="0"/>
        <w:jc w:val="both"/>
      </w:pPr>
      <w:r>
        <w:rPr>
          <w:color w:val="000000"/>
        </w:rPr>
        <w:t xml:space="preserve">We are Holy Family Catholic Multi Academy Trust (HFCMAT). The academy trust is the data </w:t>
      </w:r>
      <w:proofErr w:type="gramStart"/>
      <w:r>
        <w:rPr>
          <w:color w:val="000000"/>
        </w:rPr>
        <w:t>controller</w:t>
      </w:r>
      <w:proofErr w:type="gramEnd"/>
      <w:r>
        <w:rPr>
          <w:color w:val="000000"/>
        </w:rPr>
        <w:t xml:space="preserve"> and all the schools are part of the Multi </w:t>
      </w:r>
      <w:r>
        <w:t>Academy</w:t>
      </w:r>
      <w:r>
        <w:rPr>
          <w:color w:val="000000"/>
        </w:rPr>
        <w:t xml:space="preserve"> Trust. HFCMAT is comprised of </w:t>
      </w:r>
      <w:r>
        <w:t>6</w:t>
      </w:r>
      <w:r>
        <w:rPr>
          <w:color w:val="000000"/>
        </w:rPr>
        <w:t xml:space="preserve"> schools </w:t>
      </w:r>
      <w:proofErr w:type="gramStart"/>
      <w:r>
        <w:rPr>
          <w:color w:val="000000"/>
        </w:rPr>
        <w:t>being;</w:t>
      </w:r>
      <w:proofErr w:type="gramEnd"/>
      <w:r>
        <w:rPr>
          <w:color w:val="000000"/>
        </w:rPr>
        <w:t xml:space="preserve"> St John Plessington Catholic </w:t>
      </w:r>
      <w:r>
        <w:t>College</w:t>
      </w:r>
      <w:r>
        <w:rPr>
          <w:color w:val="000000"/>
        </w:rPr>
        <w:t>; St Mary’s Catholic Col</w:t>
      </w:r>
      <w:r>
        <w:rPr>
          <w:color w:val="000000"/>
        </w:rPr>
        <w:t>lege; St Joseph’s Catholic Primary School; St Bernard’s Catholic Primary School; Our Lady of Pity Primary School</w:t>
      </w:r>
      <w:r>
        <w:t xml:space="preserve"> and St Augustine’s Catholic Primary School.</w:t>
      </w:r>
    </w:p>
    <w:p w14:paraId="511B7E73" w14:textId="77777777" w:rsidR="003C4AEF" w:rsidRDefault="003C4AEF">
      <w:pPr>
        <w:pBdr>
          <w:top w:val="nil"/>
          <w:left w:val="nil"/>
          <w:bottom w:val="nil"/>
          <w:right w:val="nil"/>
          <w:between w:val="nil"/>
        </w:pBdr>
        <w:spacing w:after="0"/>
        <w:ind w:left="720"/>
        <w:jc w:val="both"/>
        <w:rPr>
          <w:color w:val="000000"/>
        </w:rPr>
      </w:pPr>
    </w:p>
    <w:p w14:paraId="26CEE775" w14:textId="77777777" w:rsidR="003C4AEF" w:rsidRDefault="006B5F56">
      <w:pPr>
        <w:numPr>
          <w:ilvl w:val="0"/>
          <w:numId w:val="2"/>
        </w:numPr>
        <w:pBdr>
          <w:top w:val="nil"/>
          <w:left w:val="nil"/>
          <w:bottom w:val="nil"/>
          <w:right w:val="nil"/>
          <w:between w:val="nil"/>
        </w:pBdr>
        <w:spacing w:after="0"/>
        <w:jc w:val="both"/>
      </w:pPr>
      <w:r>
        <w:rPr>
          <w:color w:val="000000"/>
        </w:rPr>
        <w:t xml:space="preserve">Being </w:t>
      </w:r>
      <w:proofErr w:type="gramStart"/>
      <w:r>
        <w:rPr>
          <w:color w:val="000000"/>
        </w:rPr>
        <w:t>a Catholic education provider</w:t>
      </w:r>
      <w:proofErr w:type="gramEnd"/>
      <w:r>
        <w:rPr>
          <w:color w:val="000000"/>
        </w:rPr>
        <w:t xml:space="preserve"> we work closely with the diocese of </w:t>
      </w:r>
      <w:proofErr w:type="spellStart"/>
      <w:r>
        <w:rPr>
          <w:color w:val="000000"/>
        </w:rPr>
        <w:t>Shreswbury</w:t>
      </w:r>
      <w:proofErr w:type="spellEnd"/>
      <w:r>
        <w:rPr>
          <w:color w:val="000000"/>
        </w:rPr>
        <w:t xml:space="preserve"> with whom we ma</w:t>
      </w:r>
      <w:r>
        <w:rPr>
          <w:color w:val="000000"/>
        </w:rPr>
        <w:t>y share the information you provide on this application form.  The reason for this is to enable the diocese to fulfil its role in supporting its schools and exercising the Bishop’s and Trustees’ responsibilities (including oversight of its provision).</w:t>
      </w:r>
    </w:p>
    <w:p w14:paraId="6A9239A2" w14:textId="77777777" w:rsidR="003C4AEF" w:rsidRDefault="003C4AEF">
      <w:pPr>
        <w:pBdr>
          <w:top w:val="nil"/>
          <w:left w:val="nil"/>
          <w:bottom w:val="nil"/>
          <w:right w:val="nil"/>
          <w:between w:val="nil"/>
        </w:pBdr>
        <w:spacing w:after="0"/>
        <w:ind w:left="720"/>
        <w:rPr>
          <w:color w:val="000000"/>
        </w:rPr>
      </w:pPr>
    </w:p>
    <w:p w14:paraId="06B9FCA8" w14:textId="77777777" w:rsidR="003C4AEF" w:rsidRDefault="006B5F56">
      <w:pPr>
        <w:numPr>
          <w:ilvl w:val="0"/>
          <w:numId w:val="2"/>
        </w:numPr>
        <w:pBdr>
          <w:top w:val="nil"/>
          <w:left w:val="nil"/>
          <w:bottom w:val="nil"/>
          <w:right w:val="nil"/>
          <w:between w:val="nil"/>
        </w:pBdr>
        <w:spacing w:after="0"/>
        <w:jc w:val="both"/>
        <w:rPr>
          <w:color w:val="000000"/>
        </w:rPr>
      </w:pPr>
      <w:r>
        <w:rPr>
          <w:color w:val="000000"/>
          <w:highlight w:val="white"/>
        </w:rPr>
        <w:lastRenderedPageBreak/>
        <w:t>The</w:t>
      </w:r>
      <w:r>
        <w:rPr>
          <w:color w:val="000000"/>
          <w:highlight w:val="white"/>
        </w:rPr>
        <w:t xml:space="preserve"> people responsible for data protection within our organisation are Chris Lamb and Shirley O’Neill. You can contact them with any questions relating to our handling of your data. </w:t>
      </w:r>
      <w:r>
        <w:rPr>
          <w:color w:val="000000"/>
        </w:rPr>
        <w:t> </w:t>
      </w:r>
      <w:r>
        <w:rPr>
          <w:color w:val="000000"/>
          <w:highlight w:val="white"/>
        </w:rPr>
        <w:t>You can contact them by emailing </w:t>
      </w:r>
      <w:hyperlink r:id="rId9">
        <w:r>
          <w:rPr>
            <w:color w:val="1155CC"/>
            <w:u w:val="single"/>
          </w:rPr>
          <w:t>dpo@hfcmat.com</w:t>
        </w:r>
      </w:hyperlink>
      <w:r>
        <w:rPr>
          <w:i/>
          <w:color w:val="000000"/>
        </w:rPr>
        <w:t>.</w:t>
      </w:r>
    </w:p>
    <w:p w14:paraId="281E75BA" w14:textId="77777777" w:rsidR="003C4AEF" w:rsidRDefault="003C4AEF">
      <w:pPr>
        <w:pBdr>
          <w:top w:val="nil"/>
          <w:left w:val="nil"/>
          <w:bottom w:val="nil"/>
          <w:right w:val="nil"/>
          <w:between w:val="nil"/>
        </w:pBdr>
        <w:spacing w:after="0"/>
        <w:ind w:left="720"/>
        <w:rPr>
          <w:color w:val="000000"/>
        </w:rPr>
      </w:pPr>
    </w:p>
    <w:p w14:paraId="339718FE" w14:textId="77777777" w:rsidR="003C4AEF" w:rsidRDefault="006B5F56">
      <w:pPr>
        <w:numPr>
          <w:ilvl w:val="0"/>
          <w:numId w:val="2"/>
        </w:numPr>
        <w:pBdr>
          <w:top w:val="nil"/>
          <w:left w:val="nil"/>
          <w:bottom w:val="nil"/>
          <w:right w:val="nil"/>
          <w:between w:val="nil"/>
        </w:pBdr>
        <w:spacing w:after="0"/>
        <w:jc w:val="both"/>
      </w:pPr>
      <w:r>
        <w:rPr>
          <w:color w:val="000000"/>
        </w:rPr>
        <w:t xml:space="preserve">We require the information we will request from your referees </w:t>
      </w:r>
      <w:proofErr w:type="gramStart"/>
      <w:r>
        <w:rPr>
          <w:color w:val="000000"/>
        </w:rPr>
        <w:t>in order to</w:t>
      </w:r>
      <w:proofErr w:type="gramEnd"/>
      <w:r>
        <w:rPr>
          <w:color w:val="000000"/>
        </w:rPr>
        <w:t xml:space="preserve"> process your application for employment.</w:t>
      </w:r>
    </w:p>
    <w:p w14:paraId="46A6997F" w14:textId="77777777" w:rsidR="003C4AEF" w:rsidRDefault="003C4AEF">
      <w:pPr>
        <w:pBdr>
          <w:top w:val="nil"/>
          <w:left w:val="nil"/>
          <w:bottom w:val="nil"/>
          <w:right w:val="nil"/>
          <w:between w:val="nil"/>
        </w:pBdr>
        <w:spacing w:after="0"/>
        <w:ind w:left="720"/>
        <w:rPr>
          <w:color w:val="000000"/>
        </w:rPr>
      </w:pPr>
    </w:p>
    <w:p w14:paraId="005B7315" w14:textId="77777777" w:rsidR="003C4AEF" w:rsidRDefault="006B5F56">
      <w:pPr>
        <w:numPr>
          <w:ilvl w:val="0"/>
          <w:numId w:val="2"/>
        </w:numPr>
        <w:pBdr>
          <w:top w:val="nil"/>
          <w:left w:val="nil"/>
          <w:bottom w:val="nil"/>
          <w:right w:val="nil"/>
          <w:between w:val="nil"/>
        </w:pBdr>
        <w:spacing w:after="0"/>
        <w:jc w:val="both"/>
      </w:pPr>
      <w:r>
        <w:rPr>
          <w:color w:val="000000"/>
        </w:rPr>
        <w:t>To the extent that you have shared any special cat</w:t>
      </w:r>
      <w:r>
        <w:rPr>
          <w:color w:val="000000"/>
        </w:rPr>
        <w:t>egories of personal data</w:t>
      </w:r>
      <w:r>
        <w:rPr>
          <w:color w:val="000000"/>
          <w:vertAlign w:val="superscript"/>
        </w:rPr>
        <w:footnoteReference w:id="1"/>
      </w:r>
      <w:r>
        <w:rPr>
          <w:color w:val="000000"/>
        </w:rPr>
        <w:t xml:space="preserve"> this will not be shared with any third party except as detailed in paragraph 2 </w:t>
      </w:r>
      <w:proofErr w:type="gramStart"/>
      <w:r>
        <w:rPr>
          <w:color w:val="000000"/>
        </w:rPr>
        <w:t>above, unless</w:t>
      </w:r>
      <w:proofErr w:type="gramEnd"/>
      <w:r>
        <w:rPr>
          <w:color w:val="000000"/>
        </w:rPr>
        <w:t xml:space="preserve"> a legal obligation should arise.</w:t>
      </w:r>
    </w:p>
    <w:p w14:paraId="4F5AAD37" w14:textId="77777777" w:rsidR="003C4AEF" w:rsidRDefault="003C4AEF">
      <w:pPr>
        <w:pBdr>
          <w:top w:val="nil"/>
          <w:left w:val="nil"/>
          <w:bottom w:val="nil"/>
          <w:right w:val="nil"/>
          <w:between w:val="nil"/>
        </w:pBdr>
        <w:spacing w:after="0"/>
        <w:ind w:left="720"/>
        <w:rPr>
          <w:color w:val="000000"/>
        </w:rPr>
      </w:pPr>
    </w:p>
    <w:p w14:paraId="64B406D9" w14:textId="77777777" w:rsidR="003C4AEF" w:rsidRDefault="006B5F56">
      <w:pPr>
        <w:numPr>
          <w:ilvl w:val="0"/>
          <w:numId w:val="2"/>
        </w:numPr>
        <w:pBdr>
          <w:top w:val="nil"/>
          <w:left w:val="nil"/>
          <w:bottom w:val="nil"/>
          <w:right w:val="nil"/>
          <w:between w:val="nil"/>
        </w:pBdr>
        <w:spacing w:after="0"/>
        <w:jc w:val="both"/>
      </w:pPr>
      <w:r>
        <w:rPr>
          <w:color w:val="000000"/>
        </w:rPr>
        <w:t>If your application is successful, the information provided by your referees will become part of your personnel file which shall</w:t>
      </w:r>
      <w:r>
        <w:rPr>
          <w:color w:val="000000"/>
        </w:rPr>
        <w:t xml:space="preserve"> be retained throughout the duration of your employment within our organisation and afterwards in accordance with our data retention policy.</w:t>
      </w:r>
    </w:p>
    <w:p w14:paraId="6977A253" w14:textId="77777777" w:rsidR="003C4AEF" w:rsidRDefault="003C4AEF">
      <w:pPr>
        <w:pBdr>
          <w:top w:val="nil"/>
          <w:left w:val="nil"/>
          <w:bottom w:val="nil"/>
          <w:right w:val="nil"/>
          <w:between w:val="nil"/>
        </w:pBdr>
        <w:spacing w:after="0"/>
        <w:ind w:left="720"/>
        <w:rPr>
          <w:color w:val="000000"/>
        </w:rPr>
      </w:pPr>
    </w:p>
    <w:p w14:paraId="2D9B2EC8" w14:textId="77777777" w:rsidR="003C4AEF" w:rsidRDefault="006B5F56">
      <w:pPr>
        <w:numPr>
          <w:ilvl w:val="0"/>
          <w:numId w:val="2"/>
        </w:numPr>
        <w:pBdr>
          <w:top w:val="nil"/>
          <w:left w:val="nil"/>
          <w:bottom w:val="nil"/>
          <w:right w:val="nil"/>
          <w:between w:val="nil"/>
        </w:pBdr>
        <w:spacing w:after="0"/>
        <w:jc w:val="both"/>
      </w:pPr>
      <w:r>
        <w:rPr>
          <w:color w:val="000000"/>
        </w:rPr>
        <w:t xml:space="preserve">If you are unsuccessful, your references and any documents you have submitted in support of your application will </w:t>
      </w:r>
      <w:r>
        <w:rPr>
          <w:color w:val="000000"/>
        </w:rPr>
        <w:t>be destroyed after a period of 6 months.</w:t>
      </w:r>
    </w:p>
    <w:p w14:paraId="355E8653" w14:textId="77777777" w:rsidR="003C4AEF" w:rsidRDefault="003C4AEF">
      <w:pPr>
        <w:pBdr>
          <w:top w:val="nil"/>
          <w:left w:val="nil"/>
          <w:bottom w:val="nil"/>
          <w:right w:val="nil"/>
          <w:between w:val="nil"/>
        </w:pBdr>
        <w:spacing w:after="0"/>
        <w:ind w:left="720"/>
        <w:rPr>
          <w:color w:val="000000"/>
        </w:rPr>
      </w:pPr>
    </w:p>
    <w:p w14:paraId="0653E590" w14:textId="77777777" w:rsidR="003C4AEF" w:rsidRDefault="006B5F56">
      <w:pPr>
        <w:numPr>
          <w:ilvl w:val="0"/>
          <w:numId w:val="2"/>
        </w:numPr>
        <w:pBdr>
          <w:top w:val="nil"/>
          <w:left w:val="nil"/>
          <w:bottom w:val="nil"/>
          <w:right w:val="nil"/>
          <w:between w:val="nil"/>
        </w:pBdr>
        <w:spacing w:after="0"/>
        <w:jc w:val="both"/>
      </w:pPr>
      <w:r>
        <w:rPr>
          <w:color w:val="000000"/>
        </w:rPr>
        <w:t>We will keep a record of your consent as evidence that we have obtained your consent to requesting references from your referees.</w:t>
      </w:r>
    </w:p>
    <w:p w14:paraId="5B9A7CC2" w14:textId="77777777" w:rsidR="003C4AEF" w:rsidRDefault="003C4AEF">
      <w:pPr>
        <w:pBdr>
          <w:top w:val="nil"/>
          <w:left w:val="nil"/>
          <w:bottom w:val="nil"/>
          <w:right w:val="nil"/>
          <w:between w:val="nil"/>
        </w:pBdr>
        <w:spacing w:after="0"/>
        <w:ind w:left="720"/>
        <w:rPr>
          <w:color w:val="000000"/>
        </w:rPr>
      </w:pPr>
    </w:p>
    <w:p w14:paraId="50B10833" w14:textId="77777777" w:rsidR="003C4AEF" w:rsidRDefault="006B5F56">
      <w:pPr>
        <w:numPr>
          <w:ilvl w:val="0"/>
          <w:numId w:val="2"/>
        </w:numPr>
        <w:pBdr>
          <w:top w:val="nil"/>
          <w:left w:val="nil"/>
          <w:bottom w:val="nil"/>
          <w:right w:val="nil"/>
          <w:between w:val="nil"/>
        </w:pBdr>
        <w:spacing w:after="0"/>
        <w:jc w:val="both"/>
      </w:pPr>
      <w:r>
        <w:rPr>
          <w:color w:val="000000"/>
        </w:rPr>
        <w:t>You have the right to withdraw your consent at any time and can do so by informing our organisation’s Data Protection Officer (see paragraph 3 above) that you wish to withdraw your consent.</w:t>
      </w:r>
    </w:p>
    <w:p w14:paraId="329471AF" w14:textId="77777777" w:rsidR="003C4AEF" w:rsidRDefault="003C4AEF">
      <w:pPr>
        <w:pBdr>
          <w:top w:val="nil"/>
          <w:left w:val="nil"/>
          <w:bottom w:val="nil"/>
          <w:right w:val="nil"/>
          <w:between w:val="nil"/>
        </w:pBdr>
        <w:spacing w:after="0"/>
        <w:ind w:left="720"/>
        <w:rPr>
          <w:color w:val="000000"/>
        </w:rPr>
      </w:pPr>
    </w:p>
    <w:p w14:paraId="03DA024C" w14:textId="77777777" w:rsidR="003C4AEF" w:rsidRDefault="006B5F56">
      <w:pPr>
        <w:numPr>
          <w:ilvl w:val="0"/>
          <w:numId w:val="2"/>
        </w:numPr>
        <w:pBdr>
          <w:top w:val="nil"/>
          <w:left w:val="nil"/>
          <w:bottom w:val="nil"/>
          <w:right w:val="nil"/>
          <w:between w:val="nil"/>
        </w:pBdr>
        <w:spacing w:after="0"/>
        <w:jc w:val="both"/>
      </w:pPr>
      <w:r>
        <w:rPr>
          <w:color w:val="000000"/>
        </w:rPr>
        <w:t>To read about your individual rights you can refer to our fair pr</w:t>
      </w:r>
      <w:r>
        <w:rPr>
          <w:color w:val="000000"/>
        </w:rPr>
        <w:t>ocessing notice and data protection policies.</w:t>
      </w:r>
    </w:p>
    <w:p w14:paraId="5D96C82B" w14:textId="77777777" w:rsidR="003C4AEF" w:rsidRDefault="003C4AEF">
      <w:pPr>
        <w:pBdr>
          <w:top w:val="nil"/>
          <w:left w:val="nil"/>
          <w:bottom w:val="nil"/>
          <w:right w:val="nil"/>
          <w:between w:val="nil"/>
        </w:pBdr>
        <w:spacing w:after="0"/>
        <w:ind w:left="720"/>
        <w:rPr>
          <w:color w:val="000000"/>
        </w:rPr>
      </w:pPr>
    </w:p>
    <w:p w14:paraId="7C89FA0D" w14:textId="77777777" w:rsidR="003C4AEF" w:rsidRDefault="006B5F56">
      <w:pPr>
        <w:numPr>
          <w:ilvl w:val="0"/>
          <w:numId w:val="2"/>
        </w:numPr>
        <w:pBdr>
          <w:top w:val="nil"/>
          <w:left w:val="nil"/>
          <w:bottom w:val="nil"/>
          <w:right w:val="nil"/>
          <w:between w:val="nil"/>
        </w:pBdr>
        <w:jc w:val="both"/>
      </w:pPr>
      <w:r>
        <w:rPr>
          <w:color w:val="000000"/>
        </w:rPr>
        <w:t xml:space="preserve">If you wish to complain about how we have collected and processed any information relating to your application, you can make a complaint to our organisation by following the procedure located on our website www.hfcmat.com. If you are unhappy with how your </w:t>
      </w:r>
      <w:r>
        <w:rPr>
          <w:color w:val="000000"/>
        </w:rPr>
        <w:t xml:space="preserve">complaint has been </w:t>
      </w:r>
      <w:proofErr w:type="gramStart"/>
      <w:r>
        <w:rPr>
          <w:color w:val="000000"/>
        </w:rPr>
        <w:t>handled</w:t>
      </w:r>
      <w:proofErr w:type="gramEnd"/>
      <w:r>
        <w:rPr>
          <w:color w:val="000000"/>
        </w:rPr>
        <w:t xml:space="preserve"> you can contact the Information Commissioner’s Office via their website at </w:t>
      </w:r>
      <w:hyperlink r:id="rId10">
        <w:r>
          <w:rPr>
            <w:color w:val="0563C1"/>
            <w:u w:val="single"/>
          </w:rPr>
          <w:t>www.ico.org.uk</w:t>
        </w:r>
      </w:hyperlink>
      <w:r>
        <w:rPr>
          <w:color w:val="000000"/>
        </w:rPr>
        <w:t>.</w:t>
      </w:r>
    </w:p>
    <w:p w14:paraId="544ABC28" w14:textId="77777777" w:rsidR="003C4AEF" w:rsidRDefault="006B5F56">
      <w:pPr>
        <w:jc w:val="both"/>
        <w:rPr>
          <w:b/>
          <w:u w:val="single"/>
        </w:rPr>
      </w:pPr>
      <w:r>
        <w:rPr>
          <w:b/>
          <w:u w:val="single"/>
        </w:rPr>
        <w:t>Request for your consent</w:t>
      </w:r>
    </w:p>
    <w:p w14:paraId="5221390D" w14:textId="77777777" w:rsidR="003C4AEF" w:rsidRDefault="006B5F56">
      <w:pPr>
        <w:jc w:val="both"/>
      </w:pPr>
      <w:r>
        <w:t>Please ensure that you read paragraphs</w:t>
      </w:r>
      <w:r>
        <w:t xml:space="preserve"> 1-11 above and raise any relevant questions before providing your consent below:</w:t>
      </w:r>
    </w:p>
    <w:p w14:paraId="5F967E7D" w14:textId="77777777" w:rsidR="003C4AEF" w:rsidRDefault="006B5F56">
      <w:pPr>
        <w:numPr>
          <w:ilvl w:val="0"/>
          <w:numId w:val="3"/>
        </w:numPr>
        <w:pBdr>
          <w:top w:val="nil"/>
          <w:left w:val="nil"/>
          <w:bottom w:val="nil"/>
          <w:right w:val="nil"/>
          <w:between w:val="nil"/>
        </w:pBdr>
        <w:spacing w:after="0"/>
        <w:jc w:val="both"/>
      </w:pPr>
      <w:r>
        <w:rPr>
          <w:color w:val="000000"/>
        </w:rPr>
        <w:t xml:space="preserve">I confirm that I have read and understood paragraphs 1-11 above and that I have been offered the opportunity to raise any relevant questions: Yes </w:t>
      </w:r>
      <w:r>
        <w:rPr>
          <w:rFonts w:ascii="MS Gothic" w:eastAsia="MS Gothic" w:hAnsi="MS Gothic" w:cs="MS Gothic"/>
          <w:color w:val="000000"/>
        </w:rPr>
        <w:t>☐</w:t>
      </w:r>
      <w:r>
        <w:rPr>
          <w:color w:val="000000"/>
        </w:rPr>
        <w:t xml:space="preserve">  No </w:t>
      </w:r>
      <w:r>
        <w:rPr>
          <w:rFonts w:ascii="MS Gothic" w:eastAsia="MS Gothic" w:hAnsi="MS Gothic" w:cs="MS Gothic"/>
          <w:color w:val="000000"/>
        </w:rPr>
        <w:t>☐</w:t>
      </w:r>
    </w:p>
    <w:p w14:paraId="2B7F684A" w14:textId="77777777" w:rsidR="003C4AEF" w:rsidRDefault="006B5F56">
      <w:pPr>
        <w:numPr>
          <w:ilvl w:val="0"/>
          <w:numId w:val="3"/>
        </w:numPr>
        <w:pBdr>
          <w:top w:val="nil"/>
          <w:left w:val="nil"/>
          <w:bottom w:val="nil"/>
          <w:right w:val="nil"/>
          <w:between w:val="nil"/>
        </w:pBdr>
        <w:spacing w:after="0"/>
        <w:jc w:val="both"/>
      </w:pPr>
      <w:r>
        <w:rPr>
          <w:color w:val="000000"/>
        </w:rPr>
        <w:t>Please check this bo</w:t>
      </w:r>
      <w:r>
        <w:rPr>
          <w:color w:val="000000"/>
        </w:rPr>
        <w:t xml:space="preserve">x if you have any objection to our taking up your references and to the collection and processing of your data as described in paragraphs 1-11 above </w:t>
      </w:r>
      <w:r>
        <w:rPr>
          <w:rFonts w:ascii="MS Gothic" w:eastAsia="MS Gothic" w:hAnsi="MS Gothic" w:cs="MS Gothic"/>
          <w:color w:val="000000"/>
        </w:rPr>
        <w:t>☐</w:t>
      </w:r>
    </w:p>
    <w:p w14:paraId="51D0A16B" w14:textId="77777777" w:rsidR="003C4AEF" w:rsidRDefault="006B5F56">
      <w:pPr>
        <w:numPr>
          <w:ilvl w:val="0"/>
          <w:numId w:val="3"/>
        </w:numPr>
        <w:pBdr>
          <w:top w:val="nil"/>
          <w:left w:val="nil"/>
          <w:bottom w:val="nil"/>
          <w:right w:val="nil"/>
          <w:between w:val="nil"/>
        </w:pBdr>
        <w:jc w:val="both"/>
        <w:rPr>
          <w:b/>
          <w:color w:val="000000"/>
          <w:u w:val="single"/>
        </w:rPr>
      </w:pPr>
      <w:r>
        <w:rPr>
          <w:color w:val="000000"/>
        </w:rPr>
        <w:t xml:space="preserve">I agree to you contacting my referees </w:t>
      </w:r>
      <w:proofErr w:type="gramStart"/>
      <w:r>
        <w:rPr>
          <w:color w:val="000000"/>
        </w:rPr>
        <w:t>in order to</w:t>
      </w:r>
      <w:proofErr w:type="gramEnd"/>
      <w:r>
        <w:rPr>
          <w:color w:val="000000"/>
        </w:rPr>
        <w:t xml:space="preserve"> obtain references.</w:t>
      </w:r>
    </w:p>
    <w:p w14:paraId="4BCD6B19" w14:textId="77777777" w:rsidR="003C4AEF" w:rsidRDefault="003C4AEF">
      <w:pPr>
        <w:jc w:val="both"/>
        <w:rPr>
          <w:b/>
          <w:u w:val="single"/>
        </w:rPr>
      </w:pPr>
    </w:p>
    <w:p w14:paraId="22928722" w14:textId="77777777" w:rsidR="003C4AEF" w:rsidRDefault="006B5F56">
      <w:pPr>
        <w:jc w:val="both"/>
      </w:pPr>
      <w:r>
        <w:t>Signature:</w:t>
      </w:r>
      <w:r>
        <w:tab/>
      </w:r>
      <w:r>
        <w:tab/>
      </w:r>
      <w:r>
        <w:tab/>
      </w:r>
      <w:r>
        <w:tab/>
      </w:r>
      <w:r>
        <w:tab/>
        <w:t xml:space="preserve">Date: </w:t>
      </w:r>
    </w:p>
    <w:sectPr w:rsidR="003C4AEF">
      <w:headerReference w:type="default" r:id="rId11"/>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0CAF1" w14:textId="77777777" w:rsidR="006B5F56" w:rsidRDefault="006B5F56">
      <w:pPr>
        <w:spacing w:after="0" w:line="240" w:lineRule="auto"/>
      </w:pPr>
      <w:r>
        <w:separator/>
      </w:r>
    </w:p>
  </w:endnote>
  <w:endnote w:type="continuationSeparator" w:id="0">
    <w:p w14:paraId="2787D629" w14:textId="77777777" w:rsidR="006B5F56" w:rsidRDefault="006B5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85FC6" w14:textId="77777777" w:rsidR="003C4AEF" w:rsidRDefault="006B5F56">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Model Consent to Obtain References Form – Version 1 – April 2019</w:t>
    </w:r>
  </w:p>
  <w:p w14:paraId="20CEE900" w14:textId="77777777" w:rsidR="003C4AEF" w:rsidRDefault="006B5F56">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THE CATHOLIC EDUCATION SERVICE ©</w:t>
    </w:r>
  </w:p>
  <w:p w14:paraId="3CCD7613" w14:textId="77777777" w:rsidR="003C4AEF" w:rsidRDefault="003C4AE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18C5E" w14:textId="77777777" w:rsidR="006B5F56" w:rsidRDefault="006B5F56">
      <w:pPr>
        <w:spacing w:after="0" w:line="240" w:lineRule="auto"/>
      </w:pPr>
      <w:r>
        <w:separator/>
      </w:r>
    </w:p>
  </w:footnote>
  <w:footnote w:type="continuationSeparator" w:id="0">
    <w:p w14:paraId="468558A5" w14:textId="77777777" w:rsidR="006B5F56" w:rsidRDefault="006B5F56">
      <w:pPr>
        <w:spacing w:after="0" w:line="240" w:lineRule="auto"/>
      </w:pPr>
      <w:r>
        <w:continuationSeparator/>
      </w:r>
    </w:p>
  </w:footnote>
  <w:footnote w:id="1">
    <w:p w14:paraId="2E9D0614" w14:textId="77777777" w:rsidR="003C4AEF" w:rsidRDefault="006B5F56">
      <w:pPr>
        <w:pBdr>
          <w:top w:val="nil"/>
          <w:left w:val="nil"/>
          <w:bottom w:val="nil"/>
          <w:right w:val="nil"/>
          <w:between w:val="nil"/>
        </w:pBdr>
        <w:spacing w:after="0" w:line="240" w:lineRule="auto"/>
        <w:jc w:val="both"/>
        <w:rPr>
          <w:color w:val="000000"/>
          <w:sz w:val="18"/>
          <w:szCs w:val="18"/>
        </w:rPr>
      </w:pPr>
      <w:r>
        <w:rPr>
          <w:rStyle w:val="FootnoteReference"/>
        </w:rPr>
        <w:footnoteRef/>
      </w:r>
      <w:r>
        <w:rPr>
          <w:color w:val="000000"/>
          <w:sz w:val="20"/>
          <w:szCs w:val="20"/>
        </w:rPr>
        <w:t xml:space="preserve"> </w:t>
      </w:r>
      <w:r>
        <w:rPr>
          <w:color w:val="000000"/>
          <w:sz w:val="18"/>
          <w:szCs w:val="18"/>
        </w:rPr>
        <w:t xml:space="preserve">Article 9(1) GDPR sets out the special categories of personal data as follows: </w:t>
      </w:r>
      <w:r>
        <w:rPr>
          <w:i/>
          <w:color w:val="000000"/>
          <w:sz w:val="18"/>
          <w:szCs w:val="18"/>
        </w:rPr>
        <w:t>“personal data revealing racial or ethnic origin, political opinions, religious or philosophical beliefs, or trade union membership, and the processing of genetic data, biometri</w:t>
      </w:r>
      <w:r>
        <w:rPr>
          <w:i/>
          <w:color w:val="000000"/>
          <w:sz w:val="18"/>
          <w:szCs w:val="18"/>
        </w:rPr>
        <w:t>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A82D" w14:textId="77777777" w:rsidR="003C4AEF" w:rsidRDefault="006B5F56">
    <w:pPr>
      <w:pBdr>
        <w:top w:val="nil"/>
        <w:left w:val="nil"/>
        <w:bottom w:val="single" w:sz="4" w:space="1" w:color="D9D9D9"/>
        <w:right w:val="nil"/>
        <w:between w:val="nil"/>
      </w:pBdr>
      <w:tabs>
        <w:tab w:val="center" w:pos="4513"/>
        <w:tab w:val="right" w:pos="9026"/>
      </w:tabs>
      <w:spacing w:after="0" w:line="240" w:lineRule="auto"/>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C9D9312" w14:textId="77777777" w:rsidR="003C4AEF" w:rsidRDefault="003C4AE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8793F"/>
    <w:multiLevelType w:val="multilevel"/>
    <w:tmpl w:val="7E8665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DD0AEF"/>
    <w:multiLevelType w:val="multilevel"/>
    <w:tmpl w:val="3CE214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4B5B68"/>
    <w:multiLevelType w:val="multilevel"/>
    <w:tmpl w:val="FBC68C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17304786">
    <w:abstractNumId w:val="2"/>
  </w:num>
  <w:num w:numId="2" w16cid:durableId="269550056">
    <w:abstractNumId w:val="1"/>
  </w:num>
  <w:num w:numId="3" w16cid:durableId="199440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AEF"/>
    <w:rsid w:val="003C4AEF"/>
    <w:rsid w:val="006B5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A492C"/>
  <w15:docId w15:val="{51E76E25-6E4F-4874-8D6D-5D18D8BF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ppFormTitle">
    <w:name w:val="App Form Title"/>
    <w:basedOn w:val="Normal"/>
    <w:rsid w:val="00BB5D53"/>
    <w:pPr>
      <w:spacing w:before="360" w:after="0" w:line="288" w:lineRule="auto"/>
      <w:jc w:val="center"/>
    </w:pPr>
    <w:rPr>
      <w:rFonts w:ascii="Arial"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customStyle="1" w:styleId="apple-converted-space">
    <w:name w:val="apple-converted-space"/>
    <w:basedOn w:val="DefaultParagraphFont"/>
    <w:rsid w:val="00592F7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hyperlink" Target="mailto:dpo@hfcma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snJmMcUeBqL8BwaX0BQsocDKGg==">CgMxLjA4AHIhMTl3NU4xaDNSbUg1N2o1QzZEbEpHdF92WElWLWxfeFk3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3869</Characters>
  <Application>Microsoft Office Word</Application>
  <DocSecurity>0</DocSecurity>
  <Lines>32</Lines>
  <Paragraphs>9</Paragraphs>
  <ScaleCrop>false</ScaleCrop>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Morton, Louise</cp:lastModifiedBy>
  <cp:revision>2</cp:revision>
  <dcterms:created xsi:type="dcterms:W3CDTF">2024-02-07T14:19:00Z</dcterms:created>
  <dcterms:modified xsi:type="dcterms:W3CDTF">2024-02-07T14:19:00Z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