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EF3FD4" w:rsidRDefault="000308AE" w:rsidP="000308AE">
      <w:pPr>
        <w:spacing w:after="95"/>
        <w:ind w:left="-2871" w:right="-15" w:hanging="10"/>
        <w:jc w:val="center"/>
        <w:rPr>
          <w:rFonts w:ascii="Arial" w:eastAsia="Arial" w:hAnsi="Arial" w:cs="Arial"/>
          <w:sz w:val="20"/>
          <w:szCs w:val="20"/>
        </w:rPr>
      </w:pP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rPr>
        <w:tab/>
        <w:t xml:space="preserve">                                    </w:t>
      </w:r>
      <w:r w:rsidR="009E64E6">
        <w:rPr>
          <w:rFonts w:ascii="Arial" w:eastAsia="Arial" w:hAnsi="Arial" w:cs="Arial"/>
          <w:b/>
          <w:bCs/>
          <w:sz w:val="20"/>
          <w:szCs w:val="20"/>
        </w:rPr>
        <w:tab/>
      </w:r>
      <w:r w:rsidR="009E64E6">
        <w:rPr>
          <w:rFonts w:ascii="Arial" w:eastAsia="Arial" w:hAnsi="Arial" w:cs="Arial"/>
          <w:b/>
          <w:bCs/>
          <w:sz w:val="20"/>
          <w:szCs w:val="20"/>
        </w:rPr>
        <w:tab/>
      </w:r>
      <w:r w:rsidR="009E64E6">
        <w:rPr>
          <w:rFonts w:ascii="Arial" w:eastAsia="Arial" w:hAnsi="Arial" w:cs="Arial"/>
          <w:b/>
          <w:bCs/>
          <w:sz w:val="20"/>
          <w:szCs w:val="20"/>
        </w:rPr>
        <w:tab/>
      </w:r>
      <w:r w:rsidR="009E64E6">
        <w:rPr>
          <w:rFonts w:ascii="Arial" w:eastAsia="Arial" w:hAnsi="Arial" w:cs="Arial"/>
          <w:b/>
          <w:bCs/>
          <w:sz w:val="20"/>
          <w:szCs w:val="20"/>
        </w:rPr>
        <w:tab/>
      </w:r>
      <w:r w:rsidR="009E64E6">
        <w:rPr>
          <w:rFonts w:ascii="Arial" w:eastAsia="Arial" w:hAnsi="Arial" w:cs="Arial"/>
          <w:b/>
          <w:bCs/>
          <w:sz w:val="20"/>
          <w:szCs w:val="20"/>
        </w:rPr>
        <w:tab/>
      </w:r>
      <w:r w:rsidR="009E64E6">
        <w:rPr>
          <w:rFonts w:ascii="Arial" w:eastAsia="Arial" w:hAnsi="Arial" w:cs="Arial"/>
          <w:b/>
          <w:bCs/>
          <w:sz w:val="20"/>
          <w:szCs w:val="20"/>
        </w:rPr>
        <w:tab/>
      </w:r>
      <w:r w:rsidR="009E64E6">
        <w:rPr>
          <w:rFonts w:ascii="Arial" w:eastAsia="Arial" w:hAnsi="Arial" w:cs="Arial"/>
          <w:b/>
          <w:bCs/>
          <w:sz w:val="20"/>
          <w:szCs w:val="20"/>
        </w:rPr>
        <w:tab/>
      </w:r>
    </w:p>
    <w:p w:rsidR="00EF3FD4" w:rsidRDefault="00A67FC2">
      <w:pPr>
        <w:spacing w:after="95"/>
        <w:ind w:left="4322"/>
        <w:rPr>
          <w:rFonts w:ascii="Arial" w:eastAsia="Arial" w:hAnsi="Arial" w:cs="Arial"/>
          <w:sz w:val="20"/>
          <w:szCs w:val="20"/>
        </w:rPr>
      </w:pPr>
      <w:r>
        <w:rPr>
          <w:rFonts w:eastAsia="Times New Roman"/>
          <w:noProof/>
          <w:color w:val="000000"/>
        </w:rPr>
        <w:drawing>
          <wp:inline distT="0" distB="0" distL="0" distR="0" wp14:anchorId="3BC7C7F2" wp14:editId="7A4E57D1">
            <wp:extent cx="2152538" cy="804862"/>
            <wp:effectExtent l="0" t="0" r="635" b="0"/>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169236" cy="811105"/>
                    </a:xfrm>
                    <a:prstGeom prst="rect">
                      <a:avLst/>
                    </a:prstGeom>
                    <a:noFill/>
                    <a:ln>
                      <a:noFill/>
                    </a:ln>
                  </pic:spPr>
                </pic:pic>
              </a:graphicData>
            </a:graphic>
          </wp:inline>
        </w:drawing>
      </w:r>
    </w:p>
    <w:p w:rsidR="00EF3FD4" w:rsidRDefault="00EF3FD4">
      <w:pPr>
        <w:spacing w:after="95"/>
        <w:ind w:left="4322"/>
        <w:rPr>
          <w:rFonts w:ascii="Arial" w:eastAsia="Arial" w:hAnsi="Arial" w:cs="Arial"/>
          <w:sz w:val="20"/>
          <w:szCs w:val="20"/>
        </w:rPr>
      </w:pPr>
    </w:p>
    <w:tbl>
      <w:tblPr>
        <w:tblStyle w:val="affc"/>
        <w:tblW w:w="11043" w:type="dxa"/>
        <w:tblInd w:w="-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89"/>
        <w:gridCol w:w="3823"/>
        <w:gridCol w:w="2267"/>
        <w:gridCol w:w="3064"/>
      </w:tblGrid>
      <w:tr w:rsidR="00EF3FD4" w:rsidRPr="00314AAF">
        <w:trPr>
          <w:trHeight w:val="460"/>
        </w:trPr>
        <w:tc>
          <w:tcPr>
            <w:tcW w:w="11043" w:type="dxa"/>
            <w:gridSpan w:val="4"/>
            <w:shd w:val="clear" w:color="auto" w:fill="BFBFBF"/>
            <w:vAlign w:val="center"/>
          </w:tcPr>
          <w:p w:rsidR="00EF3FD4" w:rsidRPr="00314AAF" w:rsidRDefault="00000000">
            <w:pPr>
              <w:ind w:left="100" w:right="11"/>
              <w:jc w:val="center"/>
              <w:rPr>
                <w:rFonts w:ascii="Arial" w:eastAsia="Georgia" w:hAnsi="Arial" w:cs="Arial"/>
                <w:b/>
                <w:bCs/>
                <w:sz w:val="20"/>
                <w:szCs w:val="20"/>
              </w:rPr>
            </w:pPr>
            <w:r w:rsidRPr="00314AAF">
              <w:rPr>
                <w:rFonts w:ascii="Arial" w:eastAsia="Georgia" w:hAnsi="Arial" w:cs="Arial"/>
                <w:b/>
                <w:bCs/>
                <w:sz w:val="20"/>
                <w:szCs w:val="20"/>
              </w:rPr>
              <w:t>JOB PROFILE</w:t>
            </w:r>
          </w:p>
        </w:tc>
      </w:tr>
      <w:tr w:rsidR="00EF3FD4" w:rsidRPr="00314AAF">
        <w:trPr>
          <w:trHeight w:val="460"/>
        </w:trPr>
        <w:tc>
          <w:tcPr>
            <w:tcW w:w="11043" w:type="dxa"/>
            <w:gridSpan w:val="4"/>
            <w:shd w:val="clear" w:color="auto" w:fill="F2F2F2"/>
            <w:vAlign w:val="center"/>
          </w:tcPr>
          <w:p w:rsidR="00EF3FD4" w:rsidRPr="00314AAF" w:rsidRDefault="00000000">
            <w:pPr>
              <w:ind w:left="100" w:right="11"/>
              <w:jc w:val="center"/>
              <w:rPr>
                <w:rFonts w:ascii="Arial" w:eastAsia="Georgia" w:hAnsi="Arial" w:cs="Arial"/>
                <w:b/>
                <w:bCs/>
                <w:sz w:val="20"/>
                <w:szCs w:val="20"/>
              </w:rPr>
            </w:pPr>
            <w:r w:rsidRPr="00314AAF">
              <w:rPr>
                <w:rFonts w:ascii="Arial" w:eastAsia="Georgia" w:hAnsi="Arial" w:cs="Arial"/>
                <w:b/>
                <w:bCs/>
                <w:sz w:val="20"/>
                <w:szCs w:val="20"/>
              </w:rPr>
              <w:t>JOB INFORMATION</w:t>
            </w:r>
          </w:p>
        </w:tc>
      </w:tr>
      <w:tr w:rsidR="00EF3FD4" w:rsidRPr="00314AAF">
        <w:trPr>
          <w:trHeight w:val="460"/>
        </w:trPr>
        <w:tc>
          <w:tcPr>
            <w:tcW w:w="1889"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Job Title</w:t>
            </w:r>
          </w:p>
        </w:tc>
        <w:tc>
          <w:tcPr>
            <w:tcW w:w="3823" w:type="dxa"/>
            <w:shd w:val="clear" w:color="auto" w:fill="FFFFFF"/>
            <w:vAlign w:val="center"/>
          </w:tcPr>
          <w:p w:rsidR="00EF3FD4" w:rsidRPr="00314AAF" w:rsidRDefault="00000000">
            <w:pPr>
              <w:ind w:left="100" w:right="11"/>
              <w:rPr>
                <w:rFonts w:ascii="Arial" w:eastAsia="Georgia" w:hAnsi="Arial" w:cs="Arial"/>
                <w:b/>
                <w:bCs/>
                <w:sz w:val="20"/>
                <w:szCs w:val="20"/>
              </w:rPr>
            </w:pPr>
            <w:r w:rsidRPr="00314AAF">
              <w:rPr>
                <w:rFonts w:ascii="Arial" w:eastAsia="Georgia" w:hAnsi="Arial" w:cs="Arial"/>
                <w:sz w:val="20"/>
                <w:szCs w:val="20"/>
              </w:rPr>
              <w:t>Head of Enterprise Risk</w:t>
            </w:r>
          </w:p>
        </w:tc>
        <w:tc>
          <w:tcPr>
            <w:tcW w:w="2267"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Department</w:t>
            </w:r>
          </w:p>
        </w:tc>
        <w:tc>
          <w:tcPr>
            <w:tcW w:w="3064"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Risk</w:t>
            </w:r>
          </w:p>
        </w:tc>
      </w:tr>
      <w:tr w:rsidR="00EF3FD4" w:rsidRPr="00314AAF">
        <w:trPr>
          <w:trHeight w:val="460"/>
        </w:trPr>
        <w:tc>
          <w:tcPr>
            <w:tcW w:w="1889"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Job Family</w:t>
            </w:r>
          </w:p>
        </w:tc>
        <w:tc>
          <w:tcPr>
            <w:tcW w:w="3823"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Risk &amp; Compliance</w:t>
            </w:r>
          </w:p>
        </w:tc>
        <w:tc>
          <w:tcPr>
            <w:tcW w:w="2267"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Function</w:t>
            </w:r>
          </w:p>
        </w:tc>
        <w:tc>
          <w:tcPr>
            <w:tcW w:w="3064"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Risk &amp; Compliance</w:t>
            </w:r>
          </w:p>
        </w:tc>
      </w:tr>
      <w:tr w:rsidR="00EF3FD4" w:rsidRPr="00314AAF">
        <w:trPr>
          <w:trHeight w:val="460"/>
        </w:trPr>
        <w:tc>
          <w:tcPr>
            <w:tcW w:w="1889"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Grade</w:t>
            </w:r>
          </w:p>
        </w:tc>
        <w:tc>
          <w:tcPr>
            <w:tcW w:w="3823"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B</w:t>
            </w:r>
          </w:p>
        </w:tc>
        <w:tc>
          <w:tcPr>
            <w:tcW w:w="2267"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SMCR Role</w:t>
            </w:r>
          </w:p>
        </w:tc>
        <w:tc>
          <w:tcPr>
            <w:tcW w:w="3064"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Certified role</w:t>
            </w:r>
          </w:p>
        </w:tc>
      </w:tr>
      <w:tr w:rsidR="00EF3FD4" w:rsidRPr="00314AAF">
        <w:trPr>
          <w:trHeight w:val="460"/>
        </w:trPr>
        <w:tc>
          <w:tcPr>
            <w:tcW w:w="1889"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Location</w:t>
            </w:r>
          </w:p>
        </w:tc>
        <w:tc>
          <w:tcPr>
            <w:tcW w:w="3823"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Merseyside / Tameside / Bradford</w:t>
            </w:r>
          </w:p>
        </w:tc>
        <w:tc>
          <w:tcPr>
            <w:tcW w:w="2267"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No. of Direct Reports</w:t>
            </w:r>
          </w:p>
        </w:tc>
        <w:tc>
          <w:tcPr>
            <w:tcW w:w="3064" w:type="dxa"/>
            <w:shd w:val="clear" w:color="auto" w:fill="FFFFFF"/>
            <w:vAlign w:val="center"/>
          </w:tcPr>
          <w:p w:rsidR="00EF3FD4" w:rsidRPr="00314AAF" w:rsidRDefault="00314AAF">
            <w:pPr>
              <w:ind w:left="100"/>
              <w:rPr>
                <w:rFonts w:ascii="Arial" w:eastAsia="Georgia" w:hAnsi="Arial" w:cs="Arial"/>
                <w:b/>
                <w:bCs/>
                <w:sz w:val="20"/>
                <w:szCs w:val="20"/>
              </w:rPr>
            </w:pPr>
            <w:r w:rsidRPr="00314AAF">
              <w:rPr>
                <w:rFonts w:ascii="Arial" w:eastAsia="Georgia" w:hAnsi="Arial" w:cs="Arial"/>
                <w:sz w:val="20"/>
                <w:szCs w:val="20"/>
              </w:rPr>
              <w:t>N/A</w:t>
            </w:r>
          </w:p>
        </w:tc>
      </w:tr>
    </w:tbl>
    <w:p w:rsidR="00EF3FD4" w:rsidRPr="00314AAF" w:rsidRDefault="00EF3FD4">
      <w:pPr>
        <w:spacing w:after="95"/>
        <w:rPr>
          <w:rFonts w:ascii="Arial" w:eastAsia="Georgia" w:hAnsi="Arial" w:cs="Arial"/>
          <w:sz w:val="20"/>
          <w:szCs w:val="20"/>
        </w:rPr>
      </w:pPr>
    </w:p>
    <w:tbl>
      <w:tblPr>
        <w:tblStyle w:val="affd"/>
        <w:tblW w:w="11051" w:type="dxa"/>
        <w:tblInd w:w="-47"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1890"/>
        <w:gridCol w:w="9161"/>
      </w:tblGrid>
      <w:tr w:rsidR="00EF3FD4" w:rsidRPr="00314AAF">
        <w:trPr>
          <w:trHeight w:val="460"/>
        </w:trPr>
        <w:tc>
          <w:tcPr>
            <w:tcW w:w="11051" w:type="dxa"/>
            <w:gridSpan w:val="2"/>
            <w:shd w:val="clear" w:color="auto" w:fill="BFBFBF"/>
            <w:vAlign w:val="center"/>
          </w:tcPr>
          <w:p w:rsidR="00EF3FD4" w:rsidRPr="00314AAF" w:rsidRDefault="00000000">
            <w:pPr>
              <w:ind w:left="100" w:right="11"/>
              <w:jc w:val="center"/>
              <w:rPr>
                <w:rFonts w:ascii="Arial" w:eastAsia="Georgia" w:hAnsi="Arial" w:cs="Arial"/>
                <w:b/>
                <w:bCs/>
                <w:sz w:val="20"/>
                <w:szCs w:val="20"/>
              </w:rPr>
            </w:pPr>
            <w:r w:rsidRPr="00314AAF">
              <w:rPr>
                <w:rFonts w:ascii="Arial" w:eastAsia="Georgia" w:hAnsi="Arial" w:cs="Arial"/>
                <w:b/>
                <w:bCs/>
                <w:sz w:val="20"/>
                <w:szCs w:val="20"/>
              </w:rPr>
              <w:t>JOB PURPOSE</w:t>
            </w:r>
          </w:p>
        </w:tc>
      </w:tr>
      <w:tr w:rsidR="00EF3FD4" w:rsidRPr="00314AAF">
        <w:trPr>
          <w:trHeight w:val="460"/>
        </w:trPr>
        <w:tc>
          <w:tcPr>
            <w:tcW w:w="11051" w:type="dxa"/>
            <w:gridSpan w:val="2"/>
            <w:shd w:val="clear" w:color="auto" w:fill="FFFFFF"/>
            <w:vAlign w:val="center"/>
          </w:tcPr>
          <w:p w:rsidR="00EF3FD4" w:rsidRPr="00314AAF" w:rsidRDefault="00000000">
            <w:pPr>
              <w:spacing w:before="120" w:after="120"/>
              <w:ind w:left="100" w:right="11"/>
              <w:rPr>
                <w:rFonts w:ascii="Arial" w:eastAsia="Georgia" w:hAnsi="Arial" w:cs="Arial"/>
                <w:sz w:val="20"/>
                <w:szCs w:val="20"/>
              </w:rPr>
            </w:pPr>
            <w:r w:rsidRPr="00314AAF">
              <w:rPr>
                <w:rFonts w:ascii="Arial" w:eastAsia="Georgia" w:hAnsi="Arial" w:cs="Arial"/>
                <w:sz w:val="20"/>
                <w:szCs w:val="20"/>
              </w:rPr>
              <w:t xml:space="preserve">* The Head of Enterprise Risk role is a Certified Person role that will require Northern to request relevant regulatory references from the previous employer - </w:t>
            </w:r>
            <w:r w:rsidRPr="00314AAF">
              <w:rPr>
                <w:rFonts w:ascii="Arial" w:eastAsia="Georgia" w:hAnsi="Arial" w:cs="Arial"/>
                <w:i/>
                <w:iCs/>
                <w:sz w:val="20"/>
                <w:szCs w:val="20"/>
              </w:rPr>
              <w:t>delete if not applicable.</w:t>
            </w:r>
          </w:p>
          <w:p w:rsidR="00EF3FD4" w:rsidRPr="00314AAF" w:rsidRDefault="00000000">
            <w:pPr>
              <w:spacing w:before="120" w:after="120"/>
              <w:ind w:left="100" w:right="11"/>
              <w:rPr>
                <w:rFonts w:ascii="Arial" w:eastAsia="Georgia" w:hAnsi="Arial" w:cs="Arial"/>
                <w:sz w:val="20"/>
                <w:szCs w:val="20"/>
              </w:rPr>
            </w:pPr>
            <w:r w:rsidRPr="00314AAF">
              <w:rPr>
                <w:rFonts w:ascii="Arial" w:eastAsia="Georgia" w:hAnsi="Arial" w:cs="Arial"/>
                <w:sz w:val="20"/>
                <w:szCs w:val="20"/>
              </w:rPr>
              <w:t>The Head of Enterprise Risk is responsible for the design, implementation and ongoing enhancement of the enterprise-wide risk management framework across Northern</w:t>
            </w:r>
            <w:r w:rsidR="00BD761F">
              <w:rPr>
                <w:rFonts w:ascii="Arial" w:eastAsia="Georgia" w:hAnsi="Arial" w:cs="Arial"/>
                <w:sz w:val="20"/>
                <w:szCs w:val="20"/>
              </w:rPr>
              <w:t>.</w:t>
            </w:r>
            <w:r w:rsidRPr="00314AAF">
              <w:rPr>
                <w:rFonts w:ascii="Arial" w:eastAsia="Georgia" w:hAnsi="Arial" w:cs="Arial"/>
                <w:sz w:val="20"/>
                <w:szCs w:val="20"/>
              </w:rPr>
              <w:t xml:space="preserve"> The role ensures the identification, assessment, monitoring and reporting of material financial and non-financial risks across the organisation, supporting robust governance, regulatory compliance and operational resilience. The Head of Enterprise Risk partners closely with the CRO, Executive and Board to embed a strong risk culture, promote effective challenge and ensure the risk profile remains within approved appetite in line with FCA expectations and public-sector values. This role reports into the Chief Risk and Compliance Officer.</w:t>
            </w:r>
          </w:p>
        </w:tc>
      </w:tr>
      <w:tr w:rsidR="00EF3FD4" w:rsidRPr="00314AAF">
        <w:trPr>
          <w:trHeight w:val="460"/>
        </w:trPr>
        <w:tc>
          <w:tcPr>
            <w:tcW w:w="1890"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Key Responsibilities</w:t>
            </w:r>
          </w:p>
        </w:tc>
        <w:tc>
          <w:tcPr>
            <w:tcW w:w="9161" w:type="dxa"/>
            <w:shd w:val="clear" w:color="auto" w:fill="FFFFFF"/>
            <w:vAlign w:val="center"/>
          </w:tcPr>
          <w:p w:rsidR="00EF3FD4" w:rsidRPr="00314AAF" w:rsidRDefault="00000000">
            <w:pPr>
              <w:ind w:left="90"/>
              <w:rPr>
                <w:rFonts w:ascii="Arial" w:eastAsia="Georgia" w:hAnsi="Arial" w:cs="Arial"/>
                <w:b/>
                <w:bCs/>
                <w:sz w:val="20"/>
                <w:szCs w:val="20"/>
              </w:rPr>
            </w:pPr>
            <w:r w:rsidRPr="00314AAF">
              <w:rPr>
                <w:rFonts w:ascii="Arial" w:eastAsia="Georgia" w:hAnsi="Arial" w:cs="Arial"/>
                <w:b/>
                <w:bCs/>
                <w:sz w:val="20"/>
                <w:szCs w:val="20"/>
              </w:rPr>
              <w:t xml:space="preserve">Enterprise Risk Framework Development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Design and implement a robust enterprise risk management framework that aligns with the </w:t>
            </w:r>
            <w:r w:rsidR="00BD761F">
              <w:rPr>
                <w:rFonts w:ascii="Arial" w:eastAsia="Georgia" w:hAnsi="Arial" w:cs="Arial"/>
                <w:sz w:val="20"/>
                <w:szCs w:val="20"/>
              </w:rPr>
              <w:t xml:space="preserve">business </w:t>
            </w:r>
            <w:r w:rsidRPr="00314AAF">
              <w:rPr>
                <w:rFonts w:ascii="Arial" w:eastAsia="Georgia" w:hAnsi="Arial" w:cs="Arial"/>
                <w:sz w:val="20"/>
                <w:szCs w:val="20"/>
              </w:rPr>
              <w:t xml:space="preserve">strategy, governance, policies, risk taxonomy, appetite statements and regulatory requirements.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Establish and maintain risk policies, procedures and governance structures to manage risks effectively.</w:t>
            </w:r>
          </w:p>
          <w:p w:rsidR="00EF3FD4" w:rsidRPr="00314AAF" w:rsidRDefault="00EF3FD4">
            <w:pPr>
              <w:rPr>
                <w:rFonts w:ascii="Arial" w:eastAsia="Georgia" w:hAnsi="Arial" w:cs="Arial"/>
                <w:sz w:val="20"/>
                <w:szCs w:val="20"/>
              </w:rPr>
            </w:pPr>
          </w:p>
          <w:p w:rsidR="00EF3FD4" w:rsidRPr="00314AAF" w:rsidRDefault="00000000">
            <w:pPr>
              <w:ind w:left="90"/>
              <w:rPr>
                <w:rFonts w:ascii="Arial" w:eastAsia="Georgia" w:hAnsi="Arial" w:cs="Arial"/>
                <w:b/>
                <w:bCs/>
                <w:sz w:val="20"/>
                <w:szCs w:val="20"/>
              </w:rPr>
            </w:pPr>
            <w:r w:rsidRPr="00314AAF">
              <w:rPr>
                <w:rFonts w:ascii="Arial" w:eastAsia="Georgia" w:hAnsi="Arial" w:cs="Arial"/>
                <w:b/>
                <w:bCs/>
                <w:sz w:val="20"/>
                <w:szCs w:val="20"/>
              </w:rPr>
              <w:t>Second Line of Defence Risk Support</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Support management in identifying, assessing and prioritising enterprise level risks, including strategic, operational, financial and compliance risks, that have been identified by management and escalated to Enterprise Risk.</w:t>
            </w:r>
          </w:p>
          <w:p w:rsidR="00EF3FD4" w:rsidRPr="00314AAF" w:rsidRDefault="00EF3FD4">
            <w:pPr>
              <w:rPr>
                <w:rFonts w:ascii="Arial" w:eastAsia="Georgia" w:hAnsi="Arial" w:cs="Arial"/>
                <w:sz w:val="20"/>
                <w:szCs w:val="20"/>
              </w:rPr>
            </w:pPr>
          </w:p>
          <w:p w:rsidR="00EF3FD4" w:rsidRPr="00314AAF" w:rsidRDefault="00000000">
            <w:pPr>
              <w:ind w:left="90"/>
              <w:rPr>
                <w:rFonts w:ascii="Arial" w:eastAsia="Georgia" w:hAnsi="Arial" w:cs="Arial"/>
                <w:b/>
                <w:bCs/>
                <w:sz w:val="20"/>
                <w:szCs w:val="20"/>
              </w:rPr>
            </w:pPr>
            <w:r w:rsidRPr="00314AAF">
              <w:rPr>
                <w:rFonts w:ascii="Arial" w:eastAsia="Georgia" w:hAnsi="Arial" w:cs="Arial"/>
                <w:b/>
                <w:bCs/>
                <w:sz w:val="20"/>
                <w:szCs w:val="20"/>
              </w:rPr>
              <w:t>Risk Monitoring and Reporting</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Implement tools and systems to monitor risk exposures continuously and ensure timely reporting to senior management and the board of directors.</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Prepare and present comprehensive risk reports, analytics and dashboards to facilitate informed decision-making.</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Support the CRO with the development of risk appetite, tolerance thresholds and early warning indicators; monitor adherence and escalate breaches. </w:t>
            </w:r>
          </w:p>
          <w:p w:rsidR="00EF3FD4" w:rsidRPr="00314AAF" w:rsidRDefault="00EF3FD4">
            <w:pPr>
              <w:rPr>
                <w:rFonts w:ascii="Arial" w:eastAsia="Georgia" w:hAnsi="Arial" w:cs="Arial"/>
                <w:sz w:val="20"/>
                <w:szCs w:val="20"/>
              </w:rPr>
            </w:pPr>
          </w:p>
          <w:p w:rsidR="00EF3FD4" w:rsidRDefault="00EF3FD4">
            <w:pPr>
              <w:rPr>
                <w:rFonts w:ascii="Arial" w:eastAsia="Georgia" w:hAnsi="Arial" w:cs="Arial"/>
                <w:sz w:val="20"/>
                <w:szCs w:val="20"/>
              </w:rPr>
            </w:pPr>
          </w:p>
          <w:p w:rsidR="00CF7B14" w:rsidRDefault="00CF7B14">
            <w:pPr>
              <w:rPr>
                <w:rFonts w:ascii="Arial" w:eastAsia="Georgia" w:hAnsi="Arial" w:cs="Arial"/>
                <w:sz w:val="20"/>
                <w:szCs w:val="20"/>
              </w:rPr>
            </w:pPr>
          </w:p>
          <w:p w:rsidR="00CF7B14" w:rsidRPr="00314AAF" w:rsidRDefault="00CF7B14">
            <w:pPr>
              <w:rPr>
                <w:rFonts w:ascii="Arial" w:eastAsia="Georgia" w:hAnsi="Arial" w:cs="Arial"/>
                <w:sz w:val="20"/>
                <w:szCs w:val="20"/>
              </w:rPr>
            </w:pPr>
          </w:p>
          <w:p w:rsidR="00EF3FD4" w:rsidRPr="00314AAF" w:rsidRDefault="00EF3FD4">
            <w:pPr>
              <w:rPr>
                <w:rFonts w:ascii="Arial" w:eastAsia="Georgia" w:hAnsi="Arial" w:cs="Arial"/>
                <w:sz w:val="20"/>
                <w:szCs w:val="20"/>
              </w:rPr>
            </w:pPr>
          </w:p>
          <w:p w:rsidR="00EF3FD4" w:rsidRPr="00314AAF" w:rsidRDefault="00000000">
            <w:pPr>
              <w:ind w:left="90"/>
              <w:rPr>
                <w:rFonts w:ascii="Arial" w:eastAsia="Georgia" w:hAnsi="Arial" w:cs="Arial"/>
                <w:b/>
                <w:bCs/>
                <w:sz w:val="20"/>
                <w:szCs w:val="20"/>
              </w:rPr>
            </w:pPr>
            <w:r w:rsidRPr="00314AAF">
              <w:rPr>
                <w:rFonts w:ascii="Arial" w:eastAsia="Georgia" w:hAnsi="Arial" w:cs="Arial"/>
                <w:b/>
                <w:bCs/>
                <w:sz w:val="20"/>
                <w:szCs w:val="20"/>
              </w:rPr>
              <w:t>Cross-Functional Collaboration</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Support management and engage with  the Investment Risk team, and Head of Investment Risk where appropriate, to ensure all relevant risk exposures associated with the</w:t>
            </w:r>
            <w:r w:rsidR="00BD761F">
              <w:rPr>
                <w:rFonts w:ascii="Arial" w:eastAsia="Georgia" w:hAnsi="Arial" w:cs="Arial"/>
                <w:sz w:val="20"/>
                <w:szCs w:val="20"/>
              </w:rPr>
              <w:t xml:space="preserve"> </w:t>
            </w:r>
            <w:r w:rsidRPr="00314AAF">
              <w:rPr>
                <w:rFonts w:ascii="Arial" w:eastAsia="Georgia" w:hAnsi="Arial" w:cs="Arial"/>
                <w:sz w:val="20"/>
                <w:szCs w:val="20"/>
              </w:rPr>
              <w:t xml:space="preserve">business operations are considered and taken into account , jointly conducting integrated risk assessments, combining enterprise-level risk factors with investment-specific risks to develop a holistic view of potential vulnerabilities and opportunities.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Engage in cross-functional projects with the Head of Investment Risk aimed at enhancing risk resilience and optimising risk-return profiles.</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Work with various departments, including Finance, Operations, Compliance, and Legal, to integrate risk management practices into business processes.</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Provide expert advice and support to business units on risk-related matters and risk mitigation strategies.</w:t>
            </w:r>
          </w:p>
          <w:p w:rsidR="00EF3FD4" w:rsidRPr="00314AAF" w:rsidRDefault="00EF3FD4">
            <w:pPr>
              <w:ind w:left="720"/>
              <w:rPr>
                <w:rFonts w:ascii="Arial" w:eastAsia="Georgia" w:hAnsi="Arial" w:cs="Arial"/>
                <w:sz w:val="20"/>
                <w:szCs w:val="20"/>
              </w:rPr>
            </w:pPr>
          </w:p>
          <w:p w:rsidR="00EF3FD4" w:rsidRPr="00314AAF" w:rsidRDefault="00000000">
            <w:pPr>
              <w:pBdr>
                <w:top w:val="nil"/>
                <w:left w:val="nil"/>
                <w:bottom w:val="nil"/>
                <w:right w:val="nil"/>
                <w:between w:val="nil"/>
              </w:pBdr>
              <w:ind w:left="90"/>
              <w:rPr>
                <w:rFonts w:ascii="Arial" w:eastAsia="Georgia" w:hAnsi="Arial" w:cs="Arial"/>
                <w:sz w:val="20"/>
                <w:szCs w:val="20"/>
              </w:rPr>
            </w:pPr>
            <w:r w:rsidRPr="00314AAF">
              <w:rPr>
                <w:rFonts w:ascii="Arial" w:eastAsia="Georgia" w:hAnsi="Arial" w:cs="Arial"/>
                <w:b/>
                <w:bCs/>
                <w:sz w:val="20"/>
                <w:szCs w:val="20"/>
              </w:rPr>
              <w:t>Regulatory Compliance and Governance</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Ensure compliance with regulatory standards and industry best practices for risk management by contributing to the overall ICARA process, ensuring adherence to IFPR and Operational Resilience requirements, and providing support to the RCSA process.</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Oversee risk governance structures, including risk committees and facilitate risk workshops and training sessions.</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Produce timely, accurate and insightful risk MI for executive management, risk committees and the Board, highlighting key exposures, emerging risks and management actions.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Maintain an effective risk governance calendar and committee cadence; ensure high-quality papers and documentation are prepared and recorded.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Support prudential assessments (e.g.  ICARA inputs) relating to enterprise risk, stress scenarios and wind-down considerations.</w:t>
            </w:r>
          </w:p>
          <w:p w:rsidR="00EF3FD4" w:rsidRPr="00314AAF" w:rsidRDefault="00000000">
            <w:pPr>
              <w:numPr>
                <w:ilvl w:val="0"/>
                <w:numId w:val="1"/>
              </w:numPr>
              <w:ind w:left="360" w:hanging="270"/>
              <w:rPr>
                <w:rFonts w:ascii="Arial" w:eastAsia="Georgia" w:hAnsi="Arial" w:cs="Arial"/>
                <w:sz w:val="20"/>
                <w:szCs w:val="20"/>
              </w:rPr>
            </w:pPr>
            <w:r w:rsidRPr="00314AAF">
              <w:rPr>
                <w:rFonts w:ascii="Arial" w:eastAsia="Georgia" w:hAnsi="Arial" w:cs="Arial"/>
                <w:sz w:val="20"/>
                <w:szCs w:val="20"/>
              </w:rPr>
              <w:t>Oversee risk governance processes, including risk committees and audit reviews.</w:t>
            </w:r>
          </w:p>
          <w:p w:rsidR="00EF3FD4" w:rsidRPr="00314AAF" w:rsidRDefault="00EF3FD4">
            <w:pPr>
              <w:rPr>
                <w:rFonts w:ascii="Arial" w:eastAsia="Georgia" w:hAnsi="Arial" w:cs="Arial"/>
                <w:sz w:val="20"/>
                <w:szCs w:val="20"/>
              </w:rPr>
            </w:pPr>
          </w:p>
          <w:p w:rsidR="00EF3FD4" w:rsidRPr="00314AAF" w:rsidRDefault="00EF3FD4">
            <w:pPr>
              <w:ind w:left="720"/>
              <w:rPr>
                <w:rFonts w:ascii="Arial" w:eastAsia="Georgia" w:hAnsi="Arial" w:cs="Arial"/>
                <w:sz w:val="20"/>
                <w:szCs w:val="20"/>
              </w:rPr>
            </w:pPr>
          </w:p>
          <w:p w:rsidR="00EF3FD4" w:rsidRPr="00314AAF" w:rsidRDefault="00000000">
            <w:pPr>
              <w:ind w:left="90"/>
              <w:rPr>
                <w:rFonts w:ascii="Arial" w:eastAsia="Georgia" w:hAnsi="Arial" w:cs="Arial"/>
                <w:b/>
                <w:bCs/>
                <w:sz w:val="20"/>
                <w:szCs w:val="20"/>
              </w:rPr>
            </w:pPr>
            <w:r w:rsidRPr="00314AAF">
              <w:rPr>
                <w:rFonts w:ascii="Arial" w:eastAsia="Georgia" w:hAnsi="Arial" w:cs="Arial"/>
                <w:b/>
                <w:bCs/>
                <w:sz w:val="20"/>
                <w:szCs w:val="20"/>
              </w:rPr>
              <w:t>Leadership and Team Development</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Lead and develop a team of risk management professionals, fostering an environment of collaboration, innovation and continuous improvement.</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Promote a strong risk culture through training, communication and engagement; support the first line in understanding responsibilities. </w:t>
            </w:r>
          </w:p>
          <w:p w:rsidR="00EF3FD4" w:rsidRPr="00314AAF" w:rsidRDefault="00000000">
            <w:pPr>
              <w:numPr>
                <w:ilvl w:val="0"/>
                <w:numId w:val="2"/>
              </w:numPr>
              <w:ind w:left="360" w:hanging="270"/>
              <w:rPr>
                <w:rFonts w:ascii="Arial" w:eastAsia="Georgia" w:hAnsi="Arial" w:cs="Arial"/>
                <w:sz w:val="20"/>
                <w:szCs w:val="20"/>
              </w:rPr>
            </w:pPr>
            <w:r w:rsidRPr="00314AAF">
              <w:rPr>
                <w:rFonts w:ascii="Arial" w:eastAsia="Georgia" w:hAnsi="Arial" w:cs="Arial"/>
                <w:sz w:val="20"/>
                <w:szCs w:val="20"/>
              </w:rPr>
              <w:t xml:space="preserve">Set objectives and performance indicators for the enterprise risk team; develop talent and foster continuous improvement. </w:t>
            </w:r>
          </w:p>
          <w:p w:rsidR="00EF3FD4" w:rsidRPr="00314AAF" w:rsidRDefault="00EF3FD4">
            <w:pPr>
              <w:pBdr>
                <w:top w:val="nil"/>
                <w:left w:val="nil"/>
                <w:bottom w:val="nil"/>
                <w:right w:val="nil"/>
                <w:between w:val="nil"/>
              </w:pBdr>
              <w:rPr>
                <w:rFonts w:ascii="Arial" w:eastAsia="Georgia" w:hAnsi="Arial" w:cs="Arial"/>
                <w:sz w:val="20"/>
                <w:szCs w:val="20"/>
              </w:rPr>
            </w:pPr>
          </w:p>
        </w:tc>
      </w:tr>
      <w:tr w:rsidR="00EF3FD4" w:rsidRPr="00314AAF">
        <w:trPr>
          <w:trHeight w:val="460"/>
        </w:trPr>
        <w:tc>
          <w:tcPr>
            <w:tcW w:w="1890" w:type="dxa"/>
            <w:shd w:val="clear" w:color="auto" w:fill="F2F2F2"/>
            <w:vAlign w:val="center"/>
          </w:tcPr>
          <w:p w:rsidR="00EF3FD4" w:rsidRPr="00314AAF" w:rsidRDefault="00000000">
            <w:pPr>
              <w:ind w:left="100"/>
              <w:rPr>
                <w:rFonts w:ascii="Arial" w:eastAsia="Georgia" w:hAnsi="Arial" w:cs="Arial"/>
                <w:b/>
                <w:bCs/>
                <w:sz w:val="20"/>
                <w:szCs w:val="20"/>
              </w:rPr>
            </w:pPr>
            <w:r w:rsidRPr="00314AAF">
              <w:rPr>
                <w:rFonts w:ascii="Arial" w:eastAsia="Georgia" w:hAnsi="Arial" w:cs="Arial"/>
                <w:b/>
                <w:bCs/>
                <w:sz w:val="20"/>
                <w:szCs w:val="20"/>
              </w:rPr>
              <w:t>Functional accountabilities</w:t>
            </w:r>
          </w:p>
        </w:tc>
        <w:tc>
          <w:tcPr>
            <w:tcW w:w="9161" w:type="dxa"/>
            <w:shd w:val="clear" w:color="auto" w:fill="FFFFFF"/>
            <w:vAlign w:val="center"/>
          </w:tcPr>
          <w:p w:rsidR="00EF3FD4" w:rsidRPr="00314AAF" w:rsidRDefault="00000000">
            <w:pPr>
              <w:numPr>
                <w:ilvl w:val="0"/>
                <w:numId w:val="3"/>
              </w:numPr>
              <w:ind w:left="360" w:hanging="270"/>
              <w:rPr>
                <w:rFonts w:ascii="Arial" w:eastAsia="Georgia" w:hAnsi="Arial" w:cs="Arial"/>
                <w:sz w:val="20"/>
                <w:szCs w:val="20"/>
              </w:rPr>
            </w:pPr>
            <w:r w:rsidRPr="00314AAF">
              <w:rPr>
                <w:rFonts w:ascii="Arial" w:eastAsia="Georgia" w:hAnsi="Arial" w:cs="Arial"/>
                <w:sz w:val="20"/>
                <w:szCs w:val="20"/>
              </w:rPr>
              <w:t xml:space="preserve">Centralise governance responsibilities for enterprise risk oversight and monitoring. </w:t>
            </w:r>
          </w:p>
          <w:p w:rsidR="00EF3FD4" w:rsidRPr="00314AAF" w:rsidRDefault="00000000">
            <w:pPr>
              <w:numPr>
                <w:ilvl w:val="0"/>
                <w:numId w:val="3"/>
              </w:numPr>
              <w:ind w:left="360" w:hanging="270"/>
              <w:rPr>
                <w:rFonts w:ascii="Arial" w:eastAsia="Georgia" w:hAnsi="Arial" w:cs="Arial"/>
                <w:sz w:val="20"/>
                <w:szCs w:val="20"/>
              </w:rPr>
            </w:pPr>
            <w:r w:rsidRPr="00314AAF">
              <w:rPr>
                <w:rFonts w:ascii="Arial" w:eastAsia="Georgia" w:hAnsi="Arial" w:cs="Arial"/>
                <w:sz w:val="20"/>
                <w:szCs w:val="20"/>
              </w:rPr>
              <w:t xml:space="preserve">Ensure a comprehensive control and oversight framework across financial and non-financial risks, engaging with relevant committees as required. </w:t>
            </w:r>
          </w:p>
          <w:p w:rsidR="00EF3FD4" w:rsidRPr="00314AAF" w:rsidRDefault="00000000">
            <w:pPr>
              <w:numPr>
                <w:ilvl w:val="0"/>
                <w:numId w:val="3"/>
              </w:numPr>
              <w:ind w:left="360" w:hanging="270"/>
              <w:rPr>
                <w:rFonts w:ascii="Arial" w:eastAsia="Georgia" w:hAnsi="Arial" w:cs="Arial"/>
                <w:sz w:val="20"/>
                <w:szCs w:val="20"/>
              </w:rPr>
            </w:pPr>
            <w:r w:rsidRPr="00314AAF">
              <w:rPr>
                <w:rFonts w:ascii="Arial" w:eastAsia="Georgia" w:hAnsi="Arial" w:cs="Arial"/>
                <w:sz w:val="20"/>
                <w:szCs w:val="20"/>
              </w:rPr>
              <w:t>Provide second-line oversight of risk MI and ensure effective risk aggregation to inform decision-making.</w:t>
            </w:r>
          </w:p>
        </w:tc>
      </w:tr>
    </w:tbl>
    <w:p w:rsidR="00EF3FD4" w:rsidRPr="00314AAF" w:rsidRDefault="00EF3FD4">
      <w:pPr>
        <w:spacing w:after="0"/>
        <w:jc w:val="both"/>
        <w:rPr>
          <w:rFonts w:ascii="Arial" w:eastAsia="Georgia" w:hAnsi="Arial" w:cs="Arial"/>
          <w:color w:val="0000FF"/>
          <w:sz w:val="20"/>
          <w:szCs w:val="20"/>
        </w:rPr>
      </w:pPr>
    </w:p>
    <w:p w:rsidR="00EF3FD4" w:rsidRPr="00314AAF" w:rsidRDefault="00000000">
      <w:pPr>
        <w:spacing w:after="0"/>
        <w:rPr>
          <w:rFonts w:ascii="Arial" w:eastAsia="Georgia" w:hAnsi="Arial" w:cs="Arial"/>
          <w:sz w:val="20"/>
          <w:szCs w:val="20"/>
        </w:rPr>
      </w:pPr>
      <w:r w:rsidRPr="00314AAF">
        <w:rPr>
          <w:rFonts w:ascii="Arial" w:eastAsia="Georgia" w:hAnsi="Arial" w:cs="Arial"/>
          <w:color w:val="0000FF"/>
          <w:sz w:val="20"/>
          <w:szCs w:val="20"/>
        </w:rPr>
        <w:t xml:space="preserve"> </w:t>
      </w:r>
    </w:p>
    <w:tbl>
      <w:tblPr>
        <w:tblStyle w:val="affe"/>
        <w:tblW w:w="11051"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00" w:firstRow="0" w:lastRow="0" w:firstColumn="0" w:lastColumn="0" w:noHBand="0" w:noVBand="1"/>
      </w:tblPr>
      <w:tblGrid>
        <w:gridCol w:w="5524"/>
        <w:gridCol w:w="5527"/>
      </w:tblGrid>
      <w:tr w:rsidR="00EF3FD4" w:rsidRPr="00314AAF">
        <w:trPr>
          <w:trHeight w:val="509"/>
        </w:trPr>
        <w:tc>
          <w:tcPr>
            <w:tcW w:w="11052" w:type="dxa"/>
            <w:gridSpan w:val="2"/>
            <w:shd w:val="clear" w:color="auto" w:fill="BFBFBF"/>
            <w:vAlign w:val="center"/>
          </w:tcPr>
          <w:p w:rsidR="00EF3FD4" w:rsidRPr="00314AAF" w:rsidRDefault="00000000">
            <w:pPr>
              <w:ind w:right="364"/>
              <w:jc w:val="center"/>
              <w:rPr>
                <w:rFonts w:ascii="Arial" w:eastAsia="Georgia" w:hAnsi="Arial" w:cs="Arial"/>
                <w:b/>
                <w:bCs/>
                <w:sz w:val="20"/>
                <w:szCs w:val="20"/>
              </w:rPr>
            </w:pPr>
            <w:r w:rsidRPr="00314AAF">
              <w:rPr>
                <w:rFonts w:ascii="Arial" w:eastAsia="Georgia" w:hAnsi="Arial" w:cs="Arial"/>
                <w:b/>
                <w:bCs/>
                <w:sz w:val="20"/>
                <w:szCs w:val="20"/>
              </w:rPr>
              <w:t>KEY INTERACTIONS</w:t>
            </w:r>
          </w:p>
        </w:tc>
      </w:tr>
      <w:tr w:rsidR="00EF3FD4" w:rsidRPr="00314AAF">
        <w:trPr>
          <w:trHeight w:val="545"/>
        </w:trPr>
        <w:tc>
          <w:tcPr>
            <w:tcW w:w="5524" w:type="dxa"/>
            <w:shd w:val="clear" w:color="auto" w:fill="F2F2F2"/>
            <w:vAlign w:val="center"/>
          </w:tcPr>
          <w:p w:rsidR="00EF3FD4" w:rsidRPr="00314AAF" w:rsidRDefault="00000000">
            <w:pPr>
              <w:ind w:right="364"/>
              <w:jc w:val="center"/>
              <w:rPr>
                <w:rFonts w:ascii="Arial" w:eastAsia="Georgia" w:hAnsi="Arial" w:cs="Arial"/>
                <w:b/>
                <w:bCs/>
                <w:sz w:val="20"/>
                <w:szCs w:val="20"/>
              </w:rPr>
            </w:pPr>
            <w:r w:rsidRPr="00314AAF">
              <w:rPr>
                <w:rFonts w:ascii="Arial" w:eastAsia="Georgia" w:hAnsi="Arial" w:cs="Arial"/>
                <w:b/>
                <w:bCs/>
                <w:sz w:val="20"/>
                <w:szCs w:val="20"/>
              </w:rPr>
              <w:t>Internal</w:t>
            </w:r>
          </w:p>
        </w:tc>
        <w:tc>
          <w:tcPr>
            <w:tcW w:w="5528" w:type="dxa"/>
            <w:shd w:val="clear" w:color="auto" w:fill="F2F2F2"/>
            <w:vAlign w:val="center"/>
          </w:tcPr>
          <w:p w:rsidR="00EF3FD4" w:rsidRPr="00314AAF" w:rsidRDefault="00000000">
            <w:pPr>
              <w:ind w:right="364"/>
              <w:jc w:val="center"/>
              <w:rPr>
                <w:rFonts w:ascii="Arial" w:eastAsia="Georgia" w:hAnsi="Arial" w:cs="Arial"/>
                <w:b/>
                <w:bCs/>
                <w:sz w:val="20"/>
                <w:szCs w:val="20"/>
              </w:rPr>
            </w:pPr>
            <w:r w:rsidRPr="00314AAF">
              <w:rPr>
                <w:rFonts w:ascii="Arial" w:eastAsia="Georgia" w:hAnsi="Arial" w:cs="Arial"/>
                <w:b/>
                <w:bCs/>
                <w:sz w:val="20"/>
                <w:szCs w:val="20"/>
              </w:rPr>
              <w:t>External</w:t>
            </w:r>
          </w:p>
        </w:tc>
      </w:tr>
      <w:tr w:rsidR="00EF3FD4" w:rsidRPr="00314AAF">
        <w:trPr>
          <w:trHeight w:val="553"/>
        </w:trPr>
        <w:tc>
          <w:tcPr>
            <w:tcW w:w="5524" w:type="dxa"/>
            <w:vAlign w:val="center"/>
          </w:tcPr>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Chief Risk and Compliance Officer</w:t>
            </w:r>
          </w:p>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xml:space="preserve">- Chief Executive Officer </w:t>
            </w:r>
          </w:p>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Head of Compliance and MLRO</w:t>
            </w:r>
          </w:p>
          <w:p w:rsidR="00EF3FD4" w:rsidRDefault="00000000">
            <w:pPr>
              <w:ind w:right="364"/>
              <w:rPr>
                <w:rFonts w:ascii="Arial" w:eastAsia="Georgia" w:hAnsi="Arial" w:cs="Arial"/>
                <w:sz w:val="20"/>
                <w:szCs w:val="20"/>
              </w:rPr>
            </w:pPr>
            <w:r w:rsidRPr="00314AAF">
              <w:rPr>
                <w:rFonts w:ascii="Arial" w:eastAsia="Georgia" w:hAnsi="Arial" w:cs="Arial"/>
                <w:sz w:val="20"/>
                <w:szCs w:val="20"/>
              </w:rPr>
              <w:t>- Head of Investment Risk</w:t>
            </w:r>
          </w:p>
          <w:p w:rsidR="000308AE" w:rsidRPr="00314AAF" w:rsidRDefault="000308AE">
            <w:pPr>
              <w:ind w:right="364"/>
              <w:rPr>
                <w:rFonts w:ascii="Arial" w:eastAsia="Georgia" w:hAnsi="Arial" w:cs="Arial"/>
                <w:sz w:val="20"/>
                <w:szCs w:val="20"/>
              </w:rPr>
            </w:pPr>
            <w:r>
              <w:rPr>
                <w:rFonts w:ascii="Arial" w:eastAsia="Georgia" w:hAnsi="Arial" w:cs="Arial"/>
                <w:sz w:val="20"/>
                <w:szCs w:val="20"/>
              </w:rPr>
              <w:t>- C suite roles</w:t>
            </w:r>
          </w:p>
        </w:tc>
        <w:tc>
          <w:tcPr>
            <w:tcW w:w="5528" w:type="dxa"/>
            <w:vAlign w:val="center"/>
          </w:tcPr>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Third party service providers</w:t>
            </w:r>
          </w:p>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Regulators</w:t>
            </w:r>
          </w:p>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Industry bodies</w:t>
            </w:r>
          </w:p>
          <w:p w:rsidR="00EF3FD4" w:rsidRPr="00314AAF" w:rsidRDefault="00000000">
            <w:pPr>
              <w:ind w:right="364"/>
              <w:rPr>
                <w:rFonts w:ascii="Arial" w:eastAsia="Georgia" w:hAnsi="Arial" w:cs="Arial"/>
                <w:sz w:val="20"/>
                <w:szCs w:val="20"/>
              </w:rPr>
            </w:pPr>
            <w:r w:rsidRPr="00314AAF">
              <w:rPr>
                <w:rFonts w:ascii="Arial" w:eastAsia="Georgia" w:hAnsi="Arial" w:cs="Arial"/>
                <w:sz w:val="20"/>
                <w:szCs w:val="20"/>
              </w:rPr>
              <w:t>- External auditors</w:t>
            </w:r>
          </w:p>
        </w:tc>
      </w:tr>
    </w:tbl>
    <w:p w:rsidR="00EF3FD4" w:rsidRPr="00314AAF" w:rsidRDefault="00EF3FD4">
      <w:pPr>
        <w:spacing w:after="0"/>
        <w:rPr>
          <w:rFonts w:ascii="Arial" w:eastAsia="Georgia" w:hAnsi="Arial" w:cs="Arial"/>
          <w:b/>
          <w:bCs/>
          <w:sz w:val="20"/>
          <w:szCs w:val="20"/>
          <w:u w:val="single"/>
        </w:rPr>
      </w:pPr>
    </w:p>
    <w:p w:rsidR="000308AE" w:rsidRDefault="000308AE">
      <w:pPr>
        <w:spacing w:after="0"/>
        <w:rPr>
          <w:rFonts w:ascii="Arial" w:eastAsia="Georgia" w:hAnsi="Arial" w:cs="Arial"/>
          <w:b/>
          <w:bCs/>
          <w:sz w:val="20"/>
          <w:szCs w:val="20"/>
          <w:u w:val="single"/>
        </w:rPr>
      </w:pPr>
    </w:p>
    <w:p w:rsidR="000308AE" w:rsidRDefault="000308AE">
      <w:pPr>
        <w:spacing w:after="0"/>
        <w:rPr>
          <w:rFonts w:ascii="Arial" w:eastAsia="Georgia" w:hAnsi="Arial" w:cs="Arial"/>
          <w:b/>
          <w:bCs/>
          <w:sz w:val="20"/>
          <w:szCs w:val="20"/>
          <w:u w:val="single"/>
        </w:rPr>
      </w:pPr>
    </w:p>
    <w:p w:rsidR="000308AE" w:rsidRDefault="000308AE">
      <w:pPr>
        <w:spacing w:after="0"/>
        <w:rPr>
          <w:rFonts w:ascii="Arial" w:eastAsia="Georgia" w:hAnsi="Arial" w:cs="Arial"/>
          <w:b/>
          <w:bCs/>
          <w:sz w:val="20"/>
          <w:szCs w:val="20"/>
          <w:u w:val="single"/>
        </w:rPr>
      </w:pPr>
    </w:p>
    <w:p w:rsidR="000308AE" w:rsidRDefault="000308AE">
      <w:pPr>
        <w:spacing w:after="0"/>
        <w:rPr>
          <w:rFonts w:ascii="Arial" w:eastAsia="Georgia" w:hAnsi="Arial" w:cs="Arial"/>
          <w:b/>
          <w:bCs/>
          <w:sz w:val="20"/>
          <w:szCs w:val="20"/>
          <w:u w:val="single"/>
        </w:rPr>
      </w:pPr>
    </w:p>
    <w:p w:rsidR="000308AE" w:rsidRDefault="000308AE">
      <w:pPr>
        <w:spacing w:after="0"/>
        <w:rPr>
          <w:rFonts w:ascii="Arial" w:eastAsia="Georgia" w:hAnsi="Arial" w:cs="Arial"/>
          <w:b/>
          <w:bCs/>
          <w:sz w:val="20"/>
          <w:szCs w:val="20"/>
          <w:u w:val="single"/>
        </w:rPr>
      </w:pPr>
    </w:p>
    <w:sectPr w:rsidR="000308AE">
      <w:footerReference w:type="even" r:id="rId13"/>
      <w:footerReference w:type="default" r:id="rId14"/>
      <w:footerReference w:type="first" r:id="rId15"/>
      <w:pgSz w:w="12240" w:h="15840"/>
      <w:pgMar w:top="1178" w:right="4569" w:bottom="1072" w:left="576" w:header="720" w:footer="2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8E0A92" w:rsidRDefault="008E0A92">
      <w:pPr>
        <w:spacing w:after="0" w:line="240" w:lineRule="auto"/>
      </w:pPr>
      <w:r>
        <w:separator/>
      </w:r>
    </w:p>
  </w:endnote>
  <w:endnote w:type="continuationSeparator" w:id="0">
    <w:p w:rsidR="008E0A92" w:rsidRDefault="008E0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3F8FCC5F-2461-1E49-A806-F43EAEBBE6E1}"/>
    <w:embedBold r:id="rId2" w:fontKey="{DD831072-80E2-D84B-9196-6D22454B00EB}"/>
  </w:font>
  <w:font w:name="Calibri">
    <w:panose1 w:val="020F0502020204030204"/>
    <w:charset w:val="00"/>
    <w:family w:val="swiss"/>
    <w:pitch w:val="variable"/>
    <w:sig w:usb0="E4002EFF" w:usb1="C200ACFF" w:usb2="00000009" w:usb3="00000000" w:csb0="000001FF" w:csb1="00000000"/>
    <w:embedRegular r:id="rId3" w:fontKey="{AA9A8CEC-B4E0-C746-8DFA-3A5EB6826188}"/>
    <w:embedBold r:id="rId4" w:fontKey="{A0DD0554-296D-7142-88CA-D8AE9CE9978E}"/>
  </w:font>
  <w:font w:name="Georgia">
    <w:panose1 w:val="02040502050405020303"/>
    <w:charset w:val="00"/>
    <w:family w:val="roman"/>
    <w:pitch w:val="variable"/>
    <w:sig w:usb0="00000287" w:usb1="00000000" w:usb2="00000000" w:usb3="00000000" w:csb0="0000009F" w:csb1="00000000"/>
    <w:embedRegular r:id="rId5" w:fontKey="{43728BE8-B519-574C-A487-6A230633CE06}"/>
    <w:embedBold r:id="rId6" w:fontKey="{F6673A29-E035-E443-8D2C-50E9E56448FB}"/>
    <w:embedItalic r:id="rId7" w:fontKey="{D357FFDF-8A21-BD41-8574-F75E33CAA646}"/>
  </w:font>
  <w:font w:name="Arial">
    <w:panose1 w:val="020B0604020202020204"/>
    <w:charset w:val="00"/>
    <w:family w:val="swiss"/>
    <w:pitch w:val="variable"/>
    <w:sig w:usb0="E0002EFF" w:usb1="C000785B" w:usb2="00000009" w:usb3="00000000" w:csb0="000001FF" w:csb1="00000000"/>
    <w:embedRegular r:id="rId8" w:fontKey="{DFCC5A08-970E-C444-961B-8BBCA0015F59}"/>
    <w:embedBold r:id="rId9" w:fontKey="{C3174F78-B394-764B-9DD6-11F9E8B7A086}"/>
    <w:embedItalic r:id="rId10" w:fontKey="{FCAC16B9-A16B-E140-91BD-1C54095FC3FB}"/>
  </w:font>
  <w:font w:name="Aptos Display">
    <w:panose1 w:val="020B0004020202020204"/>
    <w:charset w:val="00"/>
    <w:family w:val="swiss"/>
    <w:pitch w:val="variable"/>
    <w:sig w:usb0="20000287" w:usb1="00000003" w:usb2="00000000" w:usb3="00000000" w:csb0="0000019F" w:csb1="00000000"/>
    <w:embedRegular r:id="rId11" w:fontKey="{962E0691-D61F-F149-8C8E-221325819F19}"/>
  </w:font>
  <w:font w:name="Aptos">
    <w:panose1 w:val="020B0004020202020204"/>
    <w:charset w:val="00"/>
    <w:family w:val="swiss"/>
    <w:pitch w:val="variable"/>
    <w:sig w:usb0="20000287" w:usb1="00000003" w:usb2="00000000" w:usb3="00000000" w:csb0="0000019F" w:csb1="00000000"/>
    <w:embedRegular r:id="rId12" w:fontKey="{61B4FFBB-EDC5-5F43-B3C3-2736DBC151D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3FD4" w:rsidRDefault="00000000">
    <w:pPr>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EF3FD4" w:rsidRDefault="00000000">
    <w:pPr>
      <w:spacing w:after="0"/>
      <w:ind w:left="3983"/>
      <w:jc w:val="center"/>
    </w:pPr>
    <w:r>
      <w:rPr>
        <w:sz w:val="20"/>
        <w:szCs w:val="20"/>
      </w:rPr>
      <w:t xml:space="preserve">This item is classified as Confidential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3FD4" w:rsidRDefault="00000000">
    <w:pPr>
      <w:spacing w:after="211"/>
      <w:ind w:left="3989"/>
      <w:jc w:val="center"/>
    </w:pPr>
    <w:r>
      <w:fldChar w:fldCharType="begin"/>
    </w:r>
    <w:r>
      <w:instrText>PAGE</w:instrText>
    </w:r>
    <w:r>
      <w:fldChar w:fldCharType="separate"/>
    </w:r>
    <w:r w:rsidR="00597852">
      <w:rPr>
        <w:noProof/>
      </w:rPr>
      <w:t>1</w:t>
    </w:r>
    <w:r>
      <w:fldChar w:fldCharType="end"/>
    </w:r>
    <w:r>
      <w:rPr>
        <w:rFonts w:ascii="Arial" w:eastAsia="Arial" w:hAnsi="Arial" w:cs="Arial"/>
        <w:sz w:val="16"/>
        <w:szCs w:val="16"/>
      </w:rPr>
      <w:t xml:space="preserve"> </w:t>
    </w:r>
  </w:p>
  <w:p w:rsidR="00EF3FD4" w:rsidRDefault="00000000">
    <w:pPr>
      <w:spacing w:after="0"/>
      <w:ind w:left="3983"/>
      <w:jc w:val="center"/>
    </w:pPr>
    <w:r>
      <w:rPr>
        <w:sz w:val="20"/>
        <w:szCs w:val="20"/>
      </w:rPr>
      <w:t xml:space="preserve">This item is classified as Confidential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EF3FD4" w:rsidRDefault="00000000">
    <w:pPr>
      <w:spacing w:after="211"/>
      <w:ind w:left="3989"/>
      <w:jc w:val="center"/>
    </w:pPr>
    <w:r>
      <w:fldChar w:fldCharType="begin"/>
    </w:r>
    <w:r>
      <w:instrText>PAGE</w:instrText>
    </w:r>
    <w:r>
      <w:fldChar w:fldCharType="separate"/>
    </w:r>
    <w:r>
      <w:fldChar w:fldCharType="end"/>
    </w:r>
    <w:r>
      <w:rPr>
        <w:rFonts w:ascii="Arial" w:eastAsia="Arial" w:hAnsi="Arial" w:cs="Arial"/>
        <w:sz w:val="16"/>
        <w:szCs w:val="16"/>
      </w:rPr>
      <w:t xml:space="preserve"> </w:t>
    </w:r>
  </w:p>
  <w:p w:rsidR="00EF3FD4" w:rsidRDefault="00000000">
    <w:pPr>
      <w:spacing w:after="0"/>
      <w:ind w:left="3983"/>
      <w:jc w:val="center"/>
    </w:pPr>
    <w:r>
      <w:rPr>
        <w:sz w:val="20"/>
        <w:szCs w:val="20"/>
      </w:rPr>
      <w:t xml:space="preserve">This item is classified as Confidential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8E0A92" w:rsidRDefault="008E0A92">
      <w:pPr>
        <w:spacing w:after="0" w:line="240" w:lineRule="auto"/>
      </w:pPr>
      <w:r>
        <w:separator/>
      </w:r>
    </w:p>
  </w:footnote>
  <w:footnote w:type="continuationSeparator" w:id="0">
    <w:p w:rsidR="008E0A92" w:rsidRDefault="008E0A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380F59"/>
    <w:multiLevelType w:val="multilevel"/>
    <w:tmpl w:val="D8EA3538"/>
    <w:lvl w:ilvl="0">
      <w:start w:val="1"/>
      <w:numFmt w:val="bullet"/>
      <w:lvlText w:val="●"/>
      <w:lvlJc w:val="left"/>
      <w:pPr>
        <w:ind w:left="720" w:hanging="63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1533A9E"/>
    <w:multiLevelType w:val="multilevel"/>
    <w:tmpl w:val="1A42A42E"/>
    <w:lvl w:ilvl="0">
      <w:start w:val="1"/>
      <w:numFmt w:val="bullet"/>
      <w:lvlText w:val="●"/>
      <w:lvlJc w:val="left"/>
      <w:pPr>
        <w:ind w:left="720" w:hanging="360"/>
      </w:pPr>
      <w:rPr>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64E6698"/>
    <w:multiLevelType w:val="multilevel"/>
    <w:tmpl w:val="32BE27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5389688">
    <w:abstractNumId w:val="2"/>
  </w:num>
  <w:num w:numId="2" w16cid:durableId="390928904">
    <w:abstractNumId w:val="1"/>
  </w:num>
  <w:num w:numId="3" w16cid:durableId="832910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FD4"/>
    <w:rsid w:val="000308AE"/>
    <w:rsid w:val="00314AAF"/>
    <w:rsid w:val="004174D1"/>
    <w:rsid w:val="00597852"/>
    <w:rsid w:val="008E0A92"/>
    <w:rsid w:val="009E64E6"/>
    <w:rsid w:val="00A67FC2"/>
    <w:rsid w:val="00BA2FA4"/>
    <w:rsid w:val="00BD761F"/>
    <w:rsid w:val="00C8031D"/>
    <w:rsid w:val="00CF7B14"/>
    <w:rsid w:val="00D41165"/>
    <w:rsid w:val="00E76E06"/>
    <w:rsid w:val="00EF3FD4"/>
    <w:rsid w:val="00FC1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B338"/>
  <w15:docId w15:val="{3BF12929-920C-4120-AFA8-BC43A7EE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0" w:type="dxa"/>
        <w:left w:w="0" w:type="dxa"/>
        <w:bottom w:w="0" w:type="dxa"/>
        <w:right w:w="0" w:type="dxa"/>
      </w:tblCellMar>
    </w:tblPr>
  </w:style>
  <w:style w:type="table" w:customStyle="1" w:styleId="TableNormal7">
    <w:name w:val="TableNormal"/>
    <w:tblPr>
      <w:tblCellMar>
        <w:top w:w="0" w:type="dxa"/>
        <w:left w:w="0" w:type="dxa"/>
        <w:bottom w:w="0" w:type="dxa"/>
        <w:right w:w="0" w:type="dxa"/>
      </w:tblCellMar>
    </w:tblPr>
  </w:style>
  <w:style w:type="table" w:customStyle="1" w:styleId="TableNormal8">
    <w:name w:val="TableNormal"/>
    <w:tblPr>
      <w:tblCellMar>
        <w:top w:w="0" w:type="dxa"/>
        <w:left w:w="0" w:type="dxa"/>
        <w:bottom w:w="0" w:type="dxa"/>
        <w:right w:w="0" w:type="dxa"/>
      </w:tblCellMar>
    </w:tblPr>
  </w:style>
  <w:style w:type="table" w:customStyle="1" w:styleId="TableNormal9">
    <w:name w:val="TableNormal"/>
    <w:tblPr>
      <w:tblCellMar>
        <w:top w:w="0" w:type="dxa"/>
        <w:left w:w="0" w:type="dxa"/>
        <w:bottom w:w="0" w:type="dxa"/>
        <w:right w:w="0" w:type="dxa"/>
      </w:tblCellMar>
    </w:tbl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7A4A7D"/>
    <w:pPr>
      <w:ind w:left="720"/>
      <w:contextualSpacing/>
    </w:pPr>
  </w:style>
  <w:style w:type="table" w:styleId="TableGrid0">
    <w:name w:val="Table Grid"/>
    <w:basedOn w:val="TableNormal"/>
    <w:uiPriority w:val="39"/>
    <w:rsid w:val="00AB1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038A"/>
    <w:rPr>
      <w:sz w:val="16"/>
      <w:szCs w:val="16"/>
    </w:rPr>
  </w:style>
  <w:style w:type="paragraph" w:styleId="CommentText">
    <w:name w:val="annotation text"/>
    <w:basedOn w:val="Normal"/>
    <w:link w:val="CommentTextChar"/>
    <w:uiPriority w:val="99"/>
    <w:unhideWhenUsed/>
    <w:rsid w:val="0094038A"/>
    <w:pPr>
      <w:spacing w:line="240" w:lineRule="auto"/>
    </w:pPr>
    <w:rPr>
      <w:sz w:val="20"/>
      <w:szCs w:val="20"/>
    </w:rPr>
  </w:style>
  <w:style w:type="character" w:customStyle="1" w:styleId="CommentTextChar">
    <w:name w:val="Comment Text Char"/>
    <w:basedOn w:val="DefaultParagraphFont"/>
    <w:link w:val="CommentText"/>
    <w:uiPriority w:val="99"/>
    <w:rsid w:val="0094038A"/>
    <w:rPr>
      <w:rFonts w:ascii="Calibri" w:eastAsia="Calibri" w:hAnsi="Calibri" w:cs="Times New Roman"/>
      <w:color w:val="000000"/>
      <w:sz w:val="20"/>
      <w:szCs w:val="20"/>
      <w:lang w:eastAsia="en"/>
    </w:rPr>
  </w:style>
  <w:style w:type="paragraph" w:styleId="CommentSubject">
    <w:name w:val="annotation subject"/>
    <w:basedOn w:val="CommentText"/>
    <w:next w:val="CommentText"/>
    <w:link w:val="CommentSubjectChar"/>
    <w:uiPriority w:val="99"/>
    <w:semiHidden/>
    <w:unhideWhenUsed/>
    <w:rsid w:val="0094038A"/>
    <w:rPr>
      <w:b/>
      <w:bCs/>
    </w:rPr>
  </w:style>
  <w:style w:type="character" w:customStyle="1" w:styleId="CommentSubjectChar">
    <w:name w:val="Comment Subject Char"/>
    <w:basedOn w:val="CommentTextChar"/>
    <w:link w:val="CommentSubject"/>
    <w:uiPriority w:val="99"/>
    <w:semiHidden/>
    <w:rsid w:val="0094038A"/>
    <w:rPr>
      <w:rFonts w:ascii="Calibri" w:eastAsia="Calibri" w:hAnsi="Calibri" w:cs="Times New Roman"/>
      <w:b/>
      <w:bCs/>
      <w:color w:val="000000"/>
      <w:sz w:val="20"/>
      <w:szCs w:val="20"/>
      <w:lang w:eastAsia="en"/>
    </w:rPr>
  </w:style>
  <w:style w:type="table" w:customStyle="1" w:styleId="a">
    <w:basedOn w:val="TableNormal"/>
    <w:pPr>
      <w:spacing w:after="0" w:line="240" w:lineRule="auto"/>
    </w:pPr>
    <w:tblPr>
      <w:tblStyleRowBandSize w:val="1"/>
      <w:tblStyleColBandSize w:val="1"/>
      <w:tblCellMar>
        <w:top w:w="12" w:type="dxa"/>
        <w:left w:w="0" w:type="dxa"/>
        <w:right w:w="100" w:type="dxa"/>
      </w:tblCellMar>
    </w:tblPr>
  </w:style>
  <w:style w:type="table" w:customStyle="1" w:styleId="a0">
    <w:basedOn w:val="TableNormal"/>
    <w:pPr>
      <w:spacing w:after="0" w:line="240" w:lineRule="auto"/>
    </w:pPr>
    <w:tblPr>
      <w:tblStyleRowBandSize w:val="1"/>
      <w:tblStyleColBandSize w:val="1"/>
      <w:tblCellMar>
        <w:top w:w="12" w:type="dxa"/>
        <w:left w:w="0" w:type="dxa"/>
        <w:right w:w="100" w:type="dxa"/>
      </w:tblCellMar>
    </w:tblPr>
  </w:style>
  <w:style w:type="table" w:customStyle="1" w:styleId="a1">
    <w:basedOn w:val="TableNormal"/>
    <w:pPr>
      <w:spacing w:after="0" w:line="240" w:lineRule="auto"/>
    </w:pPr>
    <w:tblPr>
      <w:tblStyleRowBandSize w:val="1"/>
      <w:tblStyleColBandSize w:val="1"/>
      <w:tblCellMar>
        <w:top w:w="10" w:type="dxa"/>
        <w:left w:w="0" w:type="dxa"/>
        <w:right w:w="18"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CellMar>
        <w:top w:w="29" w:type="dxa"/>
        <w:left w:w="111" w:type="dxa"/>
        <w:right w:w="115" w:type="dxa"/>
      </w:tblCellMar>
    </w:tblPr>
  </w:style>
  <w:style w:type="table" w:customStyle="1" w:styleId="a4">
    <w:basedOn w:val="TableNormal"/>
    <w:pPr>
      <w:spacing w:after="0" w:line="240" w:lineRule="auto"/>
    </w:pPr>
    <w:tblPr>
      <w:tblStyleRowBandSize w:val="1"/>
      <w:tblStyleColBandSize w:val="1"/>
      <w:tblCellMar>
        <w:top w:w="12" w:type="dxa"/>
        <w:left w:w="0" w:type="dxa"/>
        <w:right w:w="100" w:type="dxa"/>
      </w:tblCellMar>
    </w:tblPr>
  </w:style>
  <w:style w:type="table" w:customStyle="1" w:styleId="a5">
    <w:basedOn w:val="TableNormal"/>
    <w:pPr>
      <w:spacing w:after="0" w:line="240" w:lineRule="auto"/>
    </w:pPr>
    <w:tblPr>
      <w:tblStyleRowBandSize w:val="1"/>
      <w:tblStyleColBandSize w:val="1"/>
      <w:tblCellMar>
        <w:top w:w="12" w:type="dxa"/>
        <w:left w:w="0" w:type="dxa"/>
        <w:right w:w="100" w:type="dxa"/>
      </w:tblCellMar>
    </w:tblPr>
  </w:style>
  <w:style w:type="table" w:customStyle="1" w:styleId="a6">
    <w:basedOn w:val="TableNormal"/>
    <w:pPr>
      <w:spacing w:after="0" w:line="240" w:lineRule="auto"/>
    </w:pPr>
    <w:tblPr>
      <w:tblStyleRowBandSize w:val="1"/>
      <w:tblStyleColBandSize w:val="1"/>
      <w:tblCellMar>
        <w:top w:w="10" w:type="dxa"/>
        <w:left w:w="0" w:type="dxa"/>
        <w:right w:w="18"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CellMar>
        <w:top w:w="29" w:type="dxa"/>
        <w:left w:w="111" w:type="dxa"/>
        <w:right w:w="115" w:type="dxa"/>
      </w:tblCellMar>
    </w:tblPr>
  </w:style>
  <w:style w:type="table" w:customStyle="1" w:styleId="a9">
    <w:basedOn w:val="TableNormal"/>
    <w:pPr>
      <w:spacing w:after="0" w:line="240" w:lineRule="auto"/>
    </w:pPr>
    <w:tblPr>
      <w:tblStyleRowBandSize w:val="1"/>
      <w:tblStyleColBandSize w:val="1"/>
      <w:tblCellMar>
        <w:top w:w="12" w:type="dxa"/>
        <w:left w:w="0" w:type="dxa"/>
        <w:right w:w="100" w:type="dxa"/>
      </w:tblCellMar>
    </w:tblPr>
  </w:style>
  <w:style w:type="table" w:customStyle="1" w:styleId="aa">
    <w:basedOn w:val="TableNormal"/>
    <w:pPr>
      <w:spacing w:after="0" w:line="240" w:lineRule="auto"/>
    </w:pPr>
    <w:tblPr>
      <w:tblStyleRowBandSize w:val="1"/>
      <w:tblStyleColBandSize w:val="1"/>
      <w:tblCellMar>
        <w:top w:w="12" w:type="dxa"/>
        <w:left w:w="0" w:type="dxa"/>
        <w:right w:w="100" w:type="dxa"/>
      </w:tblCellMar>
    </w:tblPr>
  </w:style>
  <w:style w:type="table" w:customStyle="1" w:styleId="ab">
    <w:basedOn w:val="TableNormal"/>
    <w:pPr>
      <w:spacing w:after="0" w:line="240" w:lineRule="auto"/>
    </w:pPr>
    <w:tblPr>
      <w:tblStyleRowBandSize w:val="1"/>
      <w:tblStyleColBandSize w:val="1"/>
      <w:tblCellMar>
        <w:top w:w="10" w:type="dxa"/>
        <w:left w:w="0" w:type="dxa"/>
        <w:right w:w="18" w:type="dxa"/>
      </w:tblCellMar>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CellMar>
        <w:top w:w="29" w:type="dxa"/>
        <w:left w:w="111" w:type="dxa"/>
        <w:right w:w="115" w:type="dxa"/>
      </w:tblCellMar>
    </w:tblPr>
  </w:style>
  <w:style w:type="table" w:customStyle="1" w:styleId="ae">
    <w:basedOn w:val="TableNormal"/>
    <w:pPr>
      <w:spacing w:after="0" w:line="240" w:lineRule="auto"/>
    </w:pPr>
    <w:tblPr>
      <w:tblStyleRowBandSize w:val="1"/>
      <w:tblStyleColBandSize w:val="1"/>
      <w:tblCellMar>
        <w:top w:w="12" w:type="dxa"/>
        <w:left w:w="0" w:type="dxa"/>
        <w:right w:w="100" w:type="dxa"/>
      </w:tblCellMar>
    </w:tblPr>
  </w:style>
  <w:style w:type="table" w:customStyle="1" w:styleId="af">
    <w:basedOn w:val="TableNormal"/>
    <w:pPr>
      <w:spacing w:after="0" w:line="240" w:lineRule="auto"/>
    </w:pPr>
    <w:tblPr>
      <w:tblStyleRowBandSize w:val="1"/>
      <w:tblStyleColBandSize w:val="1"/>
      <w:tblCellMar>
        <w:top w:w="12" w:type="dxa"/>
        <w:left w:w="0" w:type="dxa"/>
        <w:right w:w="100" w:type="dxa"/>
      </w:tblCellMar>
    </w:tblPr>
  </w:style>
  <w:style w:type="table" w:customStyle="1" w:styleId="af0">
    <w:basedOn w:val="TableNormal"/>
    <w:pPr>
      <w:spacing w:after="0" w:line="240" w:lineRule="auto"/>
    </w:pPr>
    <w:tblPr>
      <w:tblStyleRowBandSize w:val="1"/>
      <w:tblStyleColBandSize w:val="1"/>
      <w:tblCellMar>
        <w:top w:w="10" w:type="dxa"/>
        <w:left w:w="0" w:type="dxa"/>
        <w:right w:w="18" w:type="dxa"/>
      </w:tblCellMar>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CellMar>
        <w:top w:w="29" w:type="dxa"/>
        <w:left w:w="111" w:type="dxa"/>
        <w:right w:w="115" w:type="dxa"/>
      </w:tblCellMar>
    </w:tblPr>
  </w:style>
  <w:style w:type="table" w:customStyle="1" w:styleId="af3">
    <w:basedOn w:val="TableNormal"/>
    <w:pPr>
      <w:spacing w:after="0" w:line="240" w:lineRule="auto"/>
    </w:pPr>
    <w:tblPr>
      <w:tblStyleRowBandSize w:val="1"/>
      <w:tblStyleColBandSize w:val="1"/>
      <w:tblCellMar>
        <w:top w:w="12" w:type="dxa"/>
        <w:left w:w="0" w:type="dxa"/>
        <w:right w:w="100" w:type="dxa"/>
      </w:tblCellMar>
    </w:tblPr>
  </w:style>
  <w:style w:type="table" w:customStyle="1" w:styleId="af4">
    <w:basedOn w:val="TableNormal"/>
    <w:pPr>
      <w:spacing w:after="0" w:line="240" w:lineRule="auto"/>
    </w:pPr>
    <w:tblPr>
      <w:tblStyleRowBandSize w:val="1"/>
      <w:tblStyleColBandSize w:val="1"/>
      <w:tblCellMar>
        <w:top w:w="12" w:type="dxa"/>
        <w:left w:w="0" w:type="dxa"/>
        <w:right w:w="100" w:type="dxa"/>
      </w:tblCellMar>
    </w:tblPr>
  </w:style>
  <w:style w:type="table" w:customStyle="1" w:styleId="af5">
    <w:basedOn w:val="TableNormal"/>
    <w:pPr>
      <w:spacing w:after="0" w:line="240" w:lineRule="auto"/>
    </w:pPr>
    <w:tblPr>
      <w:tblStyleRowBandSize w:val="1"/>
      <w:tblStyleColBandSize w:val="1"/>
      <w:tblCellMar>
        <w:top w:w="10" w:type="dxa"/>
        <w:left w:w="0" w:type="dxa"/>
        <w:right w:w="18" w:type="dxa"/>
      </w:tblCellMar>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CellMar>
        <w:top w:w="29" w:type="dxa"/>
        <w:left w:w="111" w:type="dxa"/>
        <w:right w:w="115" w:type="dxa"/>
      </w:tblCellMar>
    </w:tblPr>
  </w:style>
  <w:style w:type="table" w:customStyle="1" w:styleId="af8">
    <w:basedOn w:val="TableNormal"/>
    <w:pPr>
      <w:spacing w:after="0" w:line="240" w:lineRule="auto"/>
    </w:pPr>
    <w:tblPr>
      <w:tblStyleRowBandSize w:val="1"/>
      <w:tblStyleColBandSize w:val="1"/>
      <w:tblCellMar>
        <w:top w:w="12" w:type="dxa"/>
        <w:left w:w="0" w:type="dxa"/>
        <w:right w:w="100" w:type="dxa"/>
      </w:tblCellMar>
    </w:tblPr>
  </w:style>
  <w:style w:type="table" w:customStyle="1" w:styleId="af9">
    <w:basedOn w:val="TableNormal"/>
    <w:pPr>
      <w:spacing w:after="0" w:line="240" w:lineRule="auto"/>
    </w:pPr>
    <w:tblPr>
      <w:tblStyleRowBandSize w:val="1"/>
      <w:tblStyleColBandSize w:val="1"/>
      <w:tblCellMar>
        <w:top w:w="12" w:type="dxa"/>
        <w:left w:w="0" w:type="dxa"/>
        <w:right w:w="100" w:type="dxa"/>
      </w:tblCellMar>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CellMar>
        <w:top w:w="29" w:type="dxa"/>
        <w:left w:w="111" w:type="dxa"/>
        <w:right w:w="115" w:type="dxa"/>
      </w:tblCellMar>
    </w:tblPr>
  </w:style>
  <w:style w:type="table" w:customStyle="1" w:styleId="afc">
    <w:basedOn w:val="TableNormal"/>
    <w:pPr>
      <w:spacing w:after="0" w:line="240" w:lineRule="auto"/>
    </w:pPr>
    <w:tblPr>
      <w:tblStyleRowBandSize w:val="1"/>
      <w:tblStyleColBandSize w:val="1"/>
      <w:tblCellMar>
        <w:top w:w="12" w:type="dxa"/>
        <w:left w:w="0" w:type="dxa"/>
        <w:right w:w="100" w:type="dxa"/>
      </w:tblCellMar>
    </w:tblPr>
  </w:style>
  <w:style w:type="table" w:customStyle="1" w:styleId="afd">
    <w:basedOn w:val="TableNormal"/>
    <w:pPr>
      <w:spacing w:after="0" w:line="240" w:lineRule="auto"/>
    </w:pPr>
    <w:tblPr>
      <w:tblStyleRowBandSize w:val="1"/>
      <w:tblStyleColBandSize w:val="1"/>
      <w:tblCellMar>
        <w:top w:w="12" w:type="dxa"/>
        <w:left w:w="0" w:type="dxa"/>
        <w:right w:w="100" w:type="dxa"/>
      </w:tblCellMar>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CellMar>
        <w:top w:w="29" w:type="dxa"/>
        <w:left w:w="111" w:type="dxa"/>
        <w:right w:w="115" w:type="dxa"/>
      </w:tblCellMar>
    </w:tblPr>
  </w:style>
  <w:style w:type="table" w:customStyle="1" w:styleId="aff0">
    <w:basedOn w:val="TableNormal"/>
    <w:pPr>
      <w:spacing w:after="0" w:line="240" w:lineRule="auto"/>
    </w:pPr>
    <w:tblPr>
      <w:tblStyleRowBandSize w:val="1"/>
      <w:tblStyleColBandSize w:val="1"/>
      <w:tblCellMar>
        <w:top w:w="12" w:type="dxa"/>
        <w:left w:w="0" w:type="dxa"/>
        <w:right w:w="100" w:type="dxa"/>
      </w:tblCellMar>
    </w:tblPr>
  </w:style>
  <w:style w:type="table" w:customStyle="1" w:styleId="aff1">
    <w:basedOn w:val="TableNormal"/>
    <w:pPr>
      <w:spacing w:after="0" w:line="240" w:lineRule="auto"/>
    </w:pPr>
    <w:tblPr>
      <w:tblStyleRowBandSize w:val="1"/>
      <w:tblStyleColBandSize w:val="1"/>
      <w:tblCellMar>
        <w:top w:w="12" w:type="dxa"/>
        <w:left w:w="0" w:type="dxa"/>
        <w:right w:w="100" w:type="dxa"/>
      </w:tblCellMar>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CellMar>
        <w:top w:w="29" w:type="dxa"/>
        <w:left w:w="111" w:type="dxa"/>
        <w:right w:w="115" w:type="dxa"/>
      </w:tblCellMar>
    </w:tblPr>
  </w:style>
  <w:style w:type="table" w:customStyle="1" w:styleId="aff4">
    <w:basedOn w:val="TableNormal"/>
    <w:pPr>
      <w:spacing w:after="0" w:line="240" w:lineRule="auto"/>
    </w:pPr>
    <w:tblPr>
      <w:tblStyleRowBandSize w:val="1"/>
      <w:tblStyleColBandSize w:val="1"/>
      <w:tblCellMar>
        <w:top w:w="12" w:type="dxa"/>
        <w:left w:w="0" w:type="dxa"/>
        <w:right w:w="100" w:type="dxa"/>
      </w:tblCellMar>
    </w:tblPr>
  </w:style>
  <w:style w:type="table" w:customStyle="1" w:styleId="aff5">
    <w:basedOn w:val="TableNormal"/>
    <w:pPr>
      <w:spacing w:after="0" w:line="240" w:lineRule="auto"/>
    </w:pPr>
    <w:tblPr>
      <w:tblStyleRowBandSize w:val="1"/>
      <w:tblStyleColBandSize w:val="1"/>
      <w:tblCellMar>
        <w:top w:w="12" w:type="dxa"/>
        <w:left w:w="0" w:type="dxa"/>
        <w:right w:w="100" w:type="dxa"/>
      </w:tblCellMar>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CellMar>
        <w:top w:w="29" w:type="dxa"/>
        <w:left w:w="111" w:type="dxa"/>
        <w:right w:w="115" w:type="dxa"/>
      </w:tblCellMar>
    </w:tblPr>
  </w:style>
  <w:style w:type="table" w:customStyle="1" w:styleId="aff8">
    <w:basedOn w:val="TableNormal"/>
    <w:pPr>
      <w:spacing w:after="0" w:line="240" w:lineRule="auto"/>
    </w:pPr>
    <w:tblPr>
      <w:tblStyleRowBandSize w:val="1"/>
      <w:tblStyleColBandSize w:val="1"/>
      <w:tblCellMar>
        <w:top w:w="12" w:type="dxa"/>
        <w:left w:w="0" w:type="dxa"/>
        <w:right w:w="100" w:type="dxa"/>
      </w:tblCellMar>
    </w:tblPr>
  </w:style>
  <w:style w:type="table" w:customStyle="1" w:styleId="aff9">
    <w:basedOn w:val="TableNormal"/>
    <w:pPr>
      <w:spacing w:after="0" w:line="240" w:lineRule="auto"/>
    </w:pPr>
    <w:tblPr>
      <w:tblStyleRowBandSize w:val="1"/>
      <w:tblStyleColBandSize w:val="1"/>
      <w:tblCellMar>
        <w:top w:w="12" w:type="dxa"/>
        <w:left w:w="0" w:type="dxa"/>
        <w:right w:w="100" w:type="dxa"/>
      </w:tblCellMar>
    </w:tblPr>
  </w:style>
  <w:style w:type="table" w:customStyle="1" w:styleId="affa">
    <w:basedOn w:val="TableNormal"/>
    <w:pPr>
      <w:spacing w:after="0" w:line="240" w:lineRule="auto"/>
    </w:pPr>
    <w:tblPr>
      <w:tblStyleRowBandSize w:val="1"/>
      <w:tblStyleColBandSize w:val="1"/>
    </w:tblPr>
  </w:style>
  <w:style w:type="table" w:customStyle="1" w:styleId="affb">
    <w:basedOn w:val="TableNormal"/>
    <w:pPr>
      <w:spacing w:after="0" w:line="240" w:lineRule="auto"/>
    </w:pPr>
    <w:tblPr>
      <w:tblStyleRowBandSize w:val="1"/>
      <w:tblStyleColBandSize w:val="1"/>
      <w:tblCellMar>
        <w:top w:w="29" w:type="dxa"/>
        <w:left w:w="111"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fc">
    <w:basedOn w:val="TableNormal"/>
    <w:pPr>
      <w:spacing w:after="0" w:line="240" w:lineRule="auto"/>
    </w:pPr>
    <w:tblPr>
      <w:tblStyleRowBandSize w:val="1"/>
      <w:tblStyleColBandSize w:val="1"/>
      <w:tblCellMar>
        <w:top w:w="12" w:type="dxa"/>
        <w:left w:w="0" w:type="dxa"/>
        <w:right w:w="100" w:type="dxa"/>
      </w:tblCellMar>
    </w:tblPr>
  </w:style>
  <w:style w:type="table" w:customStyle="1" w:styleId="affd">
    <w:basedOn w:val="TableNormal"/>
    <w:pPr>
      <w:spacing w:after="0" w:line="240" w:lineRule="auto"/>
    </w:pPr>
    <w:tblPr>
      <w:tblStyleRowBandSize w:val="1"/>
      <w:tblStyleColBandSize w:val="1"/>
      <w:tblCellMar>
        <w:top w:w="12" w:type="dxa"/>
        <w:left w:w="0" w:type="dxa"/>
        <w:right w:w="100" w:type="dxa"/>
      </w:tblCellMar>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CellMar>
        <w:top w:w="29" w:type="dxa"/>
        <w:left w:w="111"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d57eeeb9-8e4f-483d-ba57-c397ddd58517"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F9E23DDAFB5341841A4D943D3B6B4B" ma:contentTypeVersion="16" ma:contentTypeDescription="Create a new document." ma:contentTypeScope="" ma:versionID="5e0c79de027f88b876fcbaa8ab352873">
  <xsd:schema xmlns:xsd="http://www.w3.org/2001/XMLSchema" xmlns:xs="http://www.w3.org/2001/XMLSchema" xmlns:p="http://schemas.microsoft.com/office/2006/metadata/properties" xmlns:ns2="e157cecc-8cc6-45b7-8a4e-10cd285db7b0" xmlns:ns3="6e27941f-db7d-4509-90a4-401278d47cb3" targetNamespace="http://schemas.microsoft.com/office/2006/metadata/properties" ma:root="true" ma:fieldsID="b15aa687ff00ba240db5fedd146812e1" ns2:_="" ns3:_="">
    <xsd:import namespace="e157cecc-8cc6-45b7-8a4e-10cd285db7b0"/>
    <xsd:import namespace="6e27941f-db7d-4509-90a4-401278d47c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7cecc-8cc6-45b7-8a4e-10cd285db7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a9f1e5-64c7-4986-936d-54a4098b1a0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27941f-db7d-4509-90a4-401278d47cb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e3292b2-66bf-4cb4-a319-834d64320a30}" ma:internalName="TaxCatchAll" ma:showField="CatchAllData" ma:web="6e27941f-db7d-4509-90a4-401278d47cb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27941f-db7d-4509-90a4-401278d47cb3" xsi:nil="true"/>
    <lcf76f155ced4ddcb4097134ff3c332f xmlns="e157cecc-8cc6-45b7-8a4e-10cd285db7b0">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00lFrgC5EHe8Dy18CbNxLcAnBUg==">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</go:docsCustomData>
</go:gDocsCustomXmlDataStorage>
</file>

<file path=customXml/itemProps1.xml><?xml version="1.0" encoding="utf-8"?>
<ds:datastoreItem xmlns:ds="http://schemas.openxmlformats.org/officeDocument/2006/customXml" ds:itemID="{E18F03F8-D787-46A7-A5A7-D51B4BB77D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57cecc-8cc6-45b7-8a4e-10cd285db7b0"/>
    <ds:schemaRef ds:uri="6e27941f-db7d-4509-90a4-401278d47c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5EDD7-B61D-4BE9-A5C5-0D29C0C9364F}">
  <ds:schemaRefs>
    <ds:schemaRef ds:uri="http://schemas.microsoft.com/sharepoint/v3/contenttype/forms"/>
  </ds:schemaRefs>
</ds:datastoreItem>
</file>

<file path=customXml/itemProps3.xml><?xml version="1.0" encoding="utf-8"?>
<ds:datastoreItem xmlns:ds="http://schemas.openxmlformats.org/officeDocument/2006/customXml" ds:itemID="{D75FCB99-86FC-446C-9C64-744AA97106DD}">
  <ds:schemaRefs>
    <ds:schemaRef ds:uri="http://schemas.microsoft.com/office/2006/metadata/properties"/>
    <ds:schemaRef ds:uri="http://schemas.microsoft.com/office/infopath/2007/PartnerControls"/>
    <ds:schemaRef ds:uri="6e27941f-db7d-4509-90a4-401278d47cb3"/>
    <ds:schemaRef ds:uri="e157cecc-8cc6-45b7-8a4e-10cd285db7b0"/>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9dc60c3-ff64-491f-b615-0c4a3017a61b}" enabled="1" method="Standard" siteId="{b4e70b4c-d207-48f3-9006-b6c69fe381e9}"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720</Words>
  <Characters>4387</Characters>
  <Application>Microsoft Office Word</Application>
  <DocSecurity>0</DocSecurity>
  <Lines>137</Lines>
  <Paragraphs>69</Paragraphs>
  <ScaleCrop>false</ScaleCrop>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Vezzadini (UK)</dc:creator>
  <cp:lastModifiedBy>Nathaniel Delo</cp:lastModifiedBy>
  <cp:revision>1</cp:revision>
  <dcterms:created xsi:type="dcterms:W3CDTF">2026-09-16T15:54:00Z</dcterms:created>
  <dcterms:modified xsi:type="dcterms:W3CDTF">2026-09-16T15:54:00Z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0x010100AFF9E23DDAFB5341841A4D943D3B6B4B</vt:lpwstr>
  </property>
</Properties>
</file>